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0" w:leftChars="0" w:firstLine="0" w:firstLineChars="0"/>
        <w:rPr>
          <w:rFonts w:hint="eastAsia" w:ascii="Times New Roman" w:cs="Times New Roman"/>
          <w:b/>
          <w:bCs/>
          <w:sz w:val="32"/>
          <w:szCs w:val="32"/>
          <w:lang w:val="en-US" w:eastAsia="zh-CN"/>
        </w:rPr>
      </w:pPr>
      <w:bookmarkStart w:id="0" w:name="_GoBack"/>
      <w:bookmarkEnd w:id="0"/>
      <w:r>
        <w:rPr>
          <w:rFonts w:hint="default" w:ascii="Times New Roman" w:hAnsi="Times New Roman" w:cs="Times New Roman"/>
          <w:b/>
          <w:bCs/>
          <w:sz w:val="32"/>
          <w:szCs w:val="32"/>
        </w:rPr>
        <w:t>附件</w:t>
      </w:r>
      <w:r>
        <w:rPr>
          <w:rFonts w:hint="eastAsia" w:ascii="Times New Roman" w:cs="Times New Roman"/>
          <w:b/>
          <w:bCs/>
          <w:sz w:val="32"/>
          <w:szCs w:val="32"/>
          <w:lang w:val="en-US" w:eastAsia="zh-CN"/>
        </w:rPr>
        <w:t>1</w:t>
      </w:r>
    </w:p>
    <w:p>
      <w:pPr>
        <w:ind w:left="0" w:leftChars="0" w:firstLine="0" w:firstLineChars="0"/>
        <w:jc w:val="center"/>
        <w:rPr>
          <w:rFonts w:hint="default" w:ascii="华文中宋" w:hAnsi="华文中宋" w:eastAsia="华文中宋" w:cs="华文中宋"/>
          <w:b/>
          <w:bCs w:val="0"/>
          <w:kern w:val="44"/>
          <w:sz w:val="48"/>
          <w:szCs w:val="48"/>
          <w:lang w:val="en-US" w:eastAsia="zh-CN" w:bidi="ar"/>
        </w:rPr>
      </w:pPr>
      <w:r>
        <w:rPr>
          <w:rFonts w:hint="eastAsia" w:ascii="华文中宋" w:hAnsi="华文中宋" w:eastAsia="华文中宋" w:cs="华文中宋"/>
          <w:b/>
          <w:bCs w:val="0"/>
          <w:kern w:val="44"/>
          <w:sz w:val="48"/>
          <w:szCs w:val="48"/>
          <w:lang w:val="en-US" w:eastAsia="zh-CN" w:bidi="ar"/>
        </w:rPr>
        <w:t>采购供应商资格承诺函</w:t>
      </w:r>
    </w:p>
    <w:p>
      <w:pPr>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p>
    <w:p>
      <w:pPr>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仿宋" w:hAnsi="仿宋" w:eastAsia="仿宋" w:cs="仿宋"/>
          <w:sz w:val="32"/>
          <w:szCs w:val="32"/>
        </w:rPr>
      </w:pPr>
      <w:r>
        <w:rPr>
          <w:rFonts w:hint="eastAsia" w:ascii="仿宋" w:hAnsi="仿宋" w:eastAsia="仿宋" w:cs="仿宋"/>
          <w:sz w:val="32"/>
          <w:szCs w:val="32"/>
        </w:rPr>
        <w:t>致</w:t>
      </w:r>
      <w:r>
        <w:rPr>
          <w:rFonts w:hint="eastAsia" w:ascii="仿宋" w:hAnsi="仿宋" w:eastAsia="仿宋" w:cs="仿宋"/>
          <w:sz w:val="32"/>
          <w:szCs w:val="32"/>
          <w:lang w:eastAsia="zh-CN"/>
        </w:rPr>
        <w:t>福建省水利厅：</w:t>
      </w:r>
    </w:p>
    <w:p>
      <w:pPr>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仿宋" w:hAnsi="仿宋" w:eastAsia="仿宋" w:cs="仿宋"/>
          <w:sz w:val="32"/>
          <w:szCs w:val="32"/>
        </w:rPr>
      </w:pPr>
      <w:r>
        <w:rPr>
          <w:rFonts w:hint="eastAsia" w:ascii="仿宋" w:hAnsi="仿宋" w:eastAsia="仿宋" w:cs="仿宋"/>
          <w:sz w:val="32"/>
          <w:szCs w:val="32"/>
        </w:rPr>
        <w:t>单位名称</w:t>
      </w:r>
      <w:r>
        <w:rPr>
          <w:rFonts w:hint="eastAsia" w:ascii="仿宋" w:hAnsi="仿宋" w:eastAsia="仿宋" w:cs="仿宋"/>
          <w:sz w:val="32"/>
          <w:szCs w:val="32"/>
          <w:lang w:eastAsia="zh-CN"/>
        </w:rPr>
        <w:t>（</w:t>
      </w:r>
      <w:r>
        <w:rPr>
          <w:rFonts w:hint="eastAsia" w:ascii="仿宋" w:hAnsi="仿宋" w:eastAsia="仿宋" w:cs="仿宋"/>
          <w:sz w:val="32"/>
          <w:szCs w:val="32"/>
        </w:rPr>
        <w:t>自然人姓名</w:t>
      </w:r>
      <w:r>
        <w:rPr>
          <w:rFonts w:hint="eastAsia" w:ascii="仿宋" w:hAnsi="仿宋" w:eastAsia="仿宋" w:cs="仿宋"/>
          <w:sz w:val="32"/>
          <w:szCs w:val="32"/>
          <w:lang w:eastAsia="zh-CN"/>
        </w:rPr>
        <w:t>）</w:t>
      </w:r>
      <w:r>
        <w:rPr>
          <w:rFonts w:hint="eastAsia" w:ascii="仿宋" w:hAnsi="仿宋" w:eastAsia="仿宋" w:cs="仿宋"/>
          <w:sz w:val="32"/>
          <w:szCs w:val="32"/>
        </w:rPr>
        <w:t>:</w:t>
      </w:r>
    </w:p>
    <w:p>
      <w:pPr>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仿宋" w:hAnsi="仿宋" w:eastAsia="仿宋" w:cs="仿宋"/>
          <w:sz w:val="32"/>
          <w:szCs w:val="32"/>
        </w:rPr>
      </w:pPr>
      <w:r>
        <w:rPr>
          <w:rFonts w:hint="eastAsia" w:ascii="仿宋" w:hAnsi="仿宋" w:eastAsia="仿宋" w:cs="仿宋"/>
          <w:sz w:val="32"/>
          <w:szCs w:val="32"/>
        </w:rPr>
        <w:t>统一社会信用代码</w:t>
      </w:r>
      <w:r>
        <w:rPr>
          <w:rFonts w:hint="eastAsia" w:ascii="仿宋" w:hAnsi="仿宋" w:eastAsia="仿宋" w:cs="仿宋"/>
          <w:sz w:val="32"/>
          <w:szCs w:val="32"/>
          <w:lang w:eastAsia="zh-CN"/>
        </w:rPr>
        <w:t>（</w:t>
      </w:r>
      <w:r>
        <w:rPr>
          <w:rFonts w:hint="eastAsia" w:ascii="仿宋" w:hAnsi="仿宋" w:eastAsia="仿宋" w:cs="仿宋"/>
          <w:sz w:val="32"/>
          <w:szCs w:val="32"/>
        </w:rPr>
        <w:t>身份证号码</w:t>
      </w:r>
      <w:r>
        <w:rPr>
          <w:rFonts w:hint="eastAsia" w:ascii="仿宋" w:hAnsi="仿宋" w:eastAsia="仿宋" w:cs="仿宋"/>
          <w:sz w:val="32"/>
          <w:szCs w:val="32"/>
          <w:lang w:eastAsia="zh-CN"/>
        </w:rPr>
        <w:t>）</w:t>
      </w:r>
      <w:r>
        <w:rPr>
          <w:rFonts w:hint="eastAsia" w:ascii="仿宋" w:hAnsi="仿宋" w:eastAsia="仿宋" w:cs="仿宋"/>
          <w:sz w:val="32"/>
          <w:szCs w:val="32"/>
        </w:rPr>
        <w:t>:</w:t>
      </w:r>
    </w:p>
    <w:p>
      <w:pPr>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仿宋" w:hAnsi="仿宋" w:eastAsia="仿宋" w:cs="仿宋"/>
          <w:sz w:val="32"/>
          <w:szCs w:val="32"/>
        </w:rPr>
      </w:pPr>
      <w:r>
        <w:rPr>
          <w:rFonts w:hint="eastAsia" w:ascii="仿宋" w:hAnsi="仿宋" w:eastAsia="仿宋" w:cs="仿宋"/>
          <w:sz w:val="32"/>
          <w:szCs w:val="32"/>
        </w:rPr>
        <w:t>法定代表人</w:t>
      </w:r>
      <w:r>
        <w:rPr>
          <w:rFonts w:hint="eastAsia" w:ascii="仿宋" w:hAnsi="仿宋" w:eastAsia="仿宋" w:cs="仿宋"/>
          <w:sz w:val="32"/>
          <w:szCs w:val="32"/>
          <w:lang w:eastAsia="zh-CN"/>
        </w:rPr>
        <w:t>（</w:t>
      </w:r>
      <w:r>
        <w:rPr>
          <w:rFonts w:hint="eastAsia" w:ascii="仿宋" w:hAnsi="仿宋" w:eastAsia="仿宋" w:cs="仿宋"/>
          <w:sz w:val="32"/>
          <w:szCs w:val="32"/>
        </w:rPr>
        <w:t>负责人</w:t>
      </w:r>
      <w:r>
        <w:rPr>
          <w:rFonts w:hint="eastAsia" w:ascii="仿宋" w:hAnsi="仿宋" w:eastAsia="仿宋" w:cs="仿宋"/>
          <w:sz w:val="32"/>
          <w:szCs w:val="32"/>
          <w:lang w:eastAsia="zh-CN"/>
        </w:rPr>
        <w:t>）</w:t>
      </w:r>
      <w:r>
        <w:rPr>
          <w:rFonts w:hint="eastAsia" w:ascii="仿宋" w:hAnsi="仿宋" w:eastAsia="仿宋" w:cs="仿宋"/>
          <w:sz w:val="32"/>
          <w:szCs w:val="32"/>
        </w:rPr>
        <w:t>:</w:t>
      </w:r>
    </w:p>
    <w:p>
      <w:pPr>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仿宋" w:hAnsi="仿宋" w:eastAsia="仿宋" w:cs="仿宋"/>
          <w:sz w:val="32"/>
          <w:szCs w:val="32"/>
        </w:rPr>
      </w:pPr>
      <w:r>
        <w:rPr>
          <w:rFonts w:hint="eastAsia" w:ascii="仿宋" w:hAnsi="仿宋" w:eastAsia="仿宋" w:cs="仿宋"/>
          <w:sz w:val="32"/>
          <w:szCs w:val="32"/>
        </w:rPr>
        <w:t>联系地址和电话</w:t>
      </w:r>
      <w:r>
        <w:rPr>
          <w:rFonts w:hint="eastAsia" w:ascii="仿宋" w:hAnsi="仿宋" w:eastAsia="仿宋" w:cs="仿宋"/>
          <w:sz w:val="32"/>
          <w:szCs w:val="32"/>
          <w:lang w:eastAsia="zh-CN"/>
        </w:rPr>
        <w:t>：</w:t>
      </w:r>
    </w:p>
    <w:p>
      <w:pPr>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我单位</w:t>
      </w:r>
      <w:r>
        <w:rPr>
          <w:rFonts w:hint="eastAsia" w:ascii="仿宋" w:hAnsi="仿宋" w:eastAsia="仿宋" w:cs="仿宋"/>
          <w:sz w:val="32"/>
          <w:szCs w:val="32"/>
          <w:lang w:eastAsia="zh-CN"/>
        </w:rPr>
        <w:t>（</w:t>
      </w:r>
      <w:r>
        <w:rPr>
          <w:rFonts w:hint="eastAsia" w:ascii="仿宋" w:hAnsi="仿宋" w:eastAsia="仿宋" w:cs="仿宋"/>
          <w:sz w:val="32"/>
          <w:szCs w:val="32"/>
        </w:rPr>
        <w:t>本人</w:t>
      </w:r>
      <w:r>
        <w:rPr>
          <w:rFonts w:hint="eastAsia" w:ascii="仿宋" w:hAnsi="仿宋" w:eastAsia="仿宋" w:cs="仿宋"/>
          <w:sz w:val="32"/>
          <w:szCs w:val="32"/>
          <w:lang w:eastAsia="zh-CN"/>
        </w:rPr>
        <w:t>）</w:t>
      </w:r>
      <w:r>
        <w:rPr>
          <w:rFonts w:hint="eastAsia" w:ascii="仿宋" w:hAnsi="仿宋" w:eastAsia="仿宋" w:cs="仿宋"/>
          <w:sz w:val="32"/>
          <w:szCs w:val="32"/>
        </w:rPr>
        <w:t>自愿参加本次采购活动，严格遵守《中华人民共和国政府采购法》及相关法律法规，坚守公开、公平公正和诚实信用等原则，依法诚信经营，并郑重承诺</w:t>
      </w:r>
      <w:r>
        <w:rPr>
          <w:rFonts w:hint="eastAsia" w:ascii="仿宋" w:hAnsi="仿宋" w:eastAsia="仿宋" w:cs="仿宋"/>
          <w:sz w:val="32"/>
          <w:szCs w:val="32"/>
          <w:lang w:eastAsia="zh-CN"/>
        </w:rPr>
        <w:t>：</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一、我单位</w:t>
      </w:r>
      <w:r>
        <w:rPr>
          <w:rFonts w:hint="eastAsia" w:ascii="仿宋" w:hAnsi="仿宋" w:eastAsia="仿宋" w:cs="仿宋"/>
          <w:sz w:val="32"/>
          <w:szCs w:val="32"/>
          <w:lang w:eastAsia="zh-CN"/>
        </w:rPr>
        <w:t>（</w:t>
      </w:r>
      <w:r>
        <w:rPr>
          <w:rFonts w:hint="eastAsia" w:ascii="仿宋" w:hAnsi="仿宋" w:eastAsia="仿宋" w:cs="仿宋"/>
          <w:sz w:val="32"/>
          <w:szCs w:val="32"/>
        </w:rPr>
        <w:t>本人</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具备</w:t>
      </w:r>
      <w:r>
        <w:rPr>
          <w:rFonts w:hint="eastAsia" w:ascii="仿宋" w:hAnsi="仿宋" w:eastAsia="仿宋" w:cs="仿宋"/>
          <w:sz w:val="32"/>
          <w:szCs w:val="32"/>
        </w:rPr>
        <w:t>采购文件要求以及《中华人民共和国政府采购法》第二十二条规定的条件</w:t>
      </w:r>
      <w:r>
        <w:rPr>
          <w:rFonts w:hint="eastAsia" w:ascii="仿宋" w:hAnsi="仿宋" w:eastAsia="仿宋" w:cs="仿宋"/>
          <w:sz w:val="32"/>
          <w:szCs w:val="32"/>
          <w:lang w:eastAsia="zh-CN"/>
        </w:rPr>
        <w:t>：</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1.具有独立承担民事责任的能力</w:t>
      </w:r>
      <w:r>
        <w:rPr>
          <w:rFonts w:hint="eastAsia" w:ascii="仿宋" w:hAnsi="仿宋" w:eastAsia="仿宋" w:cs="仿宋"/>
          <w:sz w:val="32"/>
          <w:szCs w:val="32"/>
          <w:lang w:eastAsia="zh-CN"/>
        </w:rPr>
        <w:t>；</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2.具有良好的商业信誉和健全的财务会计制度</w:t>
      </w:r>
      <w:r>
        <w:rPr>
          <w:rFonts w:hint="eastAsia" w:ascii="仿宋" w:hAnsi="仿宋" w:eastAsia="仿宋" w:cs="仿宋"/>
          <w:sz w:val="32"/>
          <w:szCs w:val="32"/>
          <w:lang w:eastAsia="zh-CN"/>
        </w:rPr>
        <w:t>；</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3.具有履行合同所必需的设备和专业技术能力</w:t>
      </w:r>
      <w:r>
        <w:rPr>
          <w:rFonts w:hint="eastAsia" w:ascii="仿宋" w:hAnsi="仿宋" w:eastAsia="仿宋" w:cs="仿宋"/>
          <w:sz w:val="32"/>
          <w:szCs w:val="32"/>
          <w:lang w:eastAsia="zh-CN"/>
        </w:rPr>
        <w:t>；</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4.有依法缴纳税收和社会保障资金的良好记录</w:t>
      </w:r>
      <w:r>
        <w:rPr>
          <w:rFonts w:hint="eastAsia" w:ascii="仿宋" w:hAnsi="仿宋" w:eastAsia="仿宋" w:cs="仿宋"/>
          <w:sz w:val="32"/>
          <w:szCs w:val="32"/>
          <w:lang w:eastAsia="zh-CN"/>
        </w:rPr>
        <w:t>；</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5.参加政府采购活动前三年内，在经营活动中没有重大违法记录</w:t>
      </w:r>
      <w:r>
        <w:rPr>
          <w:rFonts w:hint="eastAsia" w:ascii="仿宋" w:hAnsi="仿宋" w:eastAsia="仿宋" w:cs="仿宋"/>
          <w:sz w:val="32"/>
          <w:szCs w:val="32"/>
          <w:lang w:eastAsia="zh-CN"/>
        </w:rPr>
        <w:t>；</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6.</w:t>
      </w:r>
      <w:r>
        <w:rPr>
          <w:rFonts w:hint="eastAsia" w:ascii="仿宋" w:hAnsi="仿宋" w:eastAsia="仿宋" w:cs="仿宋"/>
          <w:sz w:val="32"/>
          <w:szCs w:val="32"/>
          <w:lang w:eastAsia="zh-CN"/>
        </w:rPr>
        <w:t>法律、行政法规规定的其他条件。</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我单位</w:t>
      </w:r>
      <w:r>
        <w:rPr>
          <w:rFonts w:hint="eastAsia" w:ascii="仿宋" w:hAnsi="仿宋" w:eastAsia="仿宋" w:cs="仿宋"/>
          <w:sz w:val="32"/>
          <w:szCs w:val="32"/>
          <w:lang w:eastAsia="zh-CN"/>
        </w:rPr>
        <w:t>（</w:t>
      </w:r>
      <w:r>
        <w:rPr>
          <w:rFonts w:hint="eastAsia" w:ascii="仿宋" w:hAnsi="仿宋" w:eastAsia="仿宋" w:cs="仿宋"/>
          <w:sz w:val="32"/>
          <w:szCs w:val="32"/>
        </w:rPr>
        <w:t>本人</w:t>
      </w:r>
      <w:r>
        <w:rPr>
          <w:rFonts w:hint="eastAsia" w:ascii="仿宋" w:hAnsi="仿宋" w:eastAsia="仿宋" w:cs="仿宋"/>
          <w:sz w:val="32"/>
          <w:szCs w:val="32"/>
          <w:lang w:eastAsia="zh-CN"/>
        </w:rPr>
        <w:t>）</w:t>
      </w:r>
      <w:r>
        <w:rPr>
          <w:rFonts w:hint="eastAsia" w:ascii="仿宋" w:hAnsi="仿宋" w:eastAsia="仿宋" w:cs="仿宋"/>
          <w:sz w:val="32"/>
          <w:szCs w:val="32"/>
        </w:rPr>
        <w:t>对本承诺函及所承诺事项的真实性、合法性及有效性负责，并已知晓如所作信用承诺不实，可能涉嫌《中华人民共和国政府采购法》第七十七条第一款第</w:t>
      </w:r>
      <w:r>
        <w:rPr>
          <w:rFonts w:hint="eastAsia" w:ascii="仿宋" w:hAnsi="仿宋" w:eastAsia="仿宋" w:cs="仿宋"/>
          <w:sz w:val="32"/>
          <w:szCs w:val="32"/>
          <w:lang w:eastAsia="zh-CN"/>
        </w:rPr>
        <w:t>（</w:t>
      </w:r>
      <w:r>
        <w:rPr>
          <w:rFonts w:hint="eastAsia" w:ascii="仿宋" w:hAnsi="仿宋" w:eastAsia="仿宋" w:cs="仿宋"/>
          <w:sz w:val="32"/>
          <w:szCs w:val="32"/>
        </w:rPr>
        <w:t>一</w:t>
      </w:r>
      <w:r>
        <w:rPr>
          <w:rFonts w:hint="eastAsia" w:ascii="仿宋" w:hAnsi="仿宋" w:eastAsia="仿宋" w:cs="仿宋"/>
          <w:sz w:val="32"/>
          <w:szCs w:val="32"/>
          <w:lang w:eastAsia="zh-CN"/>
        </w:rPr>
        <w:t>）</w:t>
      </w:r>
      <w:r>
        <w:rPr>
          <w:rFonts w:hint="eastAsia" w:ascii="仿宋" w:hAnsi="仿宋" w:eastAsia="仿宋" w:cs="仿宋"/>
          <w:sz w:val="32"/>
          <w:szCs w:val="32"/>
        </w:rPr>
        <w:t>项规定的“提供虚假材料谋取中标成交”违法情形。经调查属实的，愿意接受行政监管部门按照《中华人民共和国政府采购法》第七十七条</w:t>
      </w:r>
      <w:r>
        <w:rPr>
          <w:rFonts w:hint="eastAsia" w:ascii="仿宋" w:hAnsi="仿宋" w:eastAsia="仿宋" w:cs="仿宋"/>
          <w:sz w:val="32"/>
          <w:szCs w:val="32"/>
          <w:lang w:eastAsia="zh-CN"/>
        </w:rPr>
        <w:t>：</w:t>
      </w:r>
      <w:r>
        <w:rPr>
          <w:rFonts w:hint="eastAsia" w:ascii="仿宋" w:hAnsi="仿宋" w:eastAsia="仿宋" w:cs="仿宋"/>
          <w:sz w:val="32"/>
          <w:szCs w:val="32"/>
        </w:rPr>
        <w:t>“处以采购金额千分之五以上千分之十以下的罚款，列入不良行为记录名单，在一至三年内禁止参加政府采购活动，有违法所得的，并处没收违法所得，情节严重的，由市场监管部门吊销营业执照，构成犯罪的，依法追究刑事责任”</w:t>
      </w:r>
      <w:r>
        <w:rPr>
          <w:rFonts w:hint="eastAsia" w:ascii="仿宋" w:hAnsi="仿宋" w:eastAsia="仿宋" w:cs="仿宋"/>
          <w:sz w:val="32"/>
          <w:szCs w:val="32"/>
          <w:lang w:eastAsia="zh-CN"/>
        </w:rPr>
        <w:t>和政府采购法律法规有关</w:t>
      </w:r>
      <w:r>
        <w:rPr>
          <w:rFonts w:hint="eastAsia" w:ascii="仿宋" w:hAnsi="仿宋" w:eastAsia="仿宋" w:cs="仿宋"/>
          <w:sz w:val="32"/>
          <w:szCs w:val="32"/>
          <w:lang w:val="en-US" w:eastAsia="zh-CN"/>
        </w:rPr>
        <w:t>规定</w:t>
      </w:r>
      <w:r>
        <w:rPr>
          <w:rFonts w:hint="eastAsia" w:ascii="仿宋" w:hAnsi="仿宋" w:eastAsia="仿宋" w:cs="仿宋"/>
          <w:sz w:val="32"/>
          <w:szCs w:val="32"/>
        </w:rPr>
        <w:t>处理。</w:t>
      </w:r>
    </w:p>
    <w:p>
      <w:pPr>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p>
    <w:p>
      <w:pPr>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p>
    <w:p>
      <w:pPr>
        <w:pageBreakBefore w:val="0"/>
        <w:widowControl w:val="0"/>
        <w:kinsoku/>
        <w:wordWrap/>
        <w:overflowPunct/>
        <w:topLinePunct w:val="0"/>
        <w:autoSpaceDE/>
        <w:autoSpaceDN/>
        <w:bidi w:val="0"/>
        <w:adjustRightInd/>
        <w:snapToGrid/>
        <w:spacing w:line="560" w:lineRule="exact"/>
        <w:ind w:firstLine="3520" w:firstLineChars="1100"/>
        <w:textAlignment w:val="auto"/>
        <w:rPr>
          <w:rFonts w:hint="eastAsia" w:ascii="仿宋" w:hAnsi="仿宋" w:eastAsia="仿宋" w:cs="仿宋"/>
          <w:sz w:val="32"/>
          <w:szCs w:val="32"/>
        </w:rPr>
      </w:pPr>
      <w:r>
        <w:rPr>
          <w:rFonts w:hint="eastAsia" w:ascii="仿宋" w:hAnsi="仿宋" w:eastAsia="仿宋" w:cs="仿宋"/>
          <w:sz w:val="32"/>
          <w:szCs w:val="32"/>
        </w:rPr>
        <w:t>供应商名称</w:t>
      </w:r>
      <w:r>
        <w:rPr>
          <w:rFonts w:hint="eastAsia" w:ascii="仿宋" w:hAnsi="仿宋" w:eastAsia="仿宋" w:cs="仿宋"/>
          <w:sz w:val="32"/>
          <w:szCs w:val="32"/>
          <w:lang w:eastAsia="zh-CN"/>
        </w:rPr>
        <w:t>（</w:t>
      </w:r>
      <w:r>
        <w:rPr>
          <w:rFonts w:hint="eastAsia" w:ascii="仿宋" w:hAnsi="仿宋" w:eastAsia="仿宋" w:cs="仿宋"/>
          <w:sz w:val="32"/>
          <w:szCs w:val="32"/>
        </w:rPr>
        <w:t>单位公章</w:t>
      </w:r>
      <w:r>
        <w:rPr>
          <w:rFonts w:hint="eastAsia" w:ascii="仿宋" w:hAnsi="仿宋" w:eastAsia="仿宋" w:cs="仿宋"/>
          <w:sz w:val="32"/>
          <w:szCs w:val="32"/>
          <w:lang w:eastAsia="zh-CN"/>
        </w:rPr>
        <w:t>）</w:t>
      </w:r>
      <w:r>
        <w:rPr>
          <w:rFonts w:hint="eastAsia" w:ascii="仿宋" w:hAnsi="仿宋" w:eastAsia="仿宋" w:cs="仿宋"/>
          <w:sz w:val="32"/>
          <w:szCs w:val="32"/>
        </w:rPr>
        <w:t>:</w:t>
      </w:r>
    </w:p>
    <w:p>
      <w:pPr>
        <w:pageBreakBefore w:val="0"/>
        <w:widowControl w:val="0"/>
        <w:kinsoku/>
        <w:wordWrap/>
        <w:overflowPunct/>
        <w:topLinePunct w:val="0"/>
        <w:autoSpaceDE/>
        <w:autoSpaceDN/>
        <w:bidi w:val="0"/>
        <w:adjustRightInd/>
        <w:snapToGrid/>
        <w:spacing w:line="560" w:lineRule="exact"/>
        <w:ind w:firstLine="3520" w:firstLineChars="11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年</w:t>
      </w:r>
      <w:r>
        <w:rPr>
          <w:rFonts w:hint="eastAsia" w:ascii="仿宋" w:hAnsi="仿宋" w:eastAsia="仿宋" w:cs="仿宋"/>
          <w:sz w:val="32"/>
          <w:szCs w:val="32"/>
          <w:lang w:val="en-US" w:eastAsia="zh-CN"/>
        </w:rPr>
        <w:t xml:space="preserve">   月   </w:t>
      </w:r>
      <w:r>
        <w:rPr>
          <w:rFonts w:hint="eastAsia" w:ascii="仿宋" w:hAnsi="仿宋" w:eastAsia="仿宋" w:cs="仿宋"/>
          <w:sz w:val="32"/>
          <w:szCs w:val="32"/>
        </w:rPr>
        <w:t>日</w:t>
      </w:r>
    </w:p>
    <w:p>
      <w:pPr>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 w:hAnsi="仿宋" w:eastAsia="仿宋" w:cs="仿宋"/>
          <w:sz w:val="32"/>
          <w:szCs w:val="32"/>
        </w:rPr>
      </w:pPr>
    </w:p>
    <w:p>
      <w:pPr>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 w:hAnsi="仿宋" w:eastAsia="仿宋" w:cs="仿宋"/>
          <w:sz w:val="32"/>
          <w:szCs w:val="32"/>
        </w:rPr>
      </w:pPr>
    </w:p>
    <w:p>
      <w:pPr>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注</w:t>
      </w:r>
      <w:r>
        <w:rPr>
          <w:rFonts w:hint="eastAsia" w:ascii="仿宋" w:hAnsi="仿宋" w:eastAsia="仿宋" w:cs="仿宋"/>
          <w:sz w:val="24"/>
          <w:szCs w:val="24"/>
          <w:lang w:eastAsia="zh-CN"/>
        </w:rPr>
        <w:t>：</w:t>
      </w:r>
    </w:p>
    <w:p>
      <w:pPr>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 w:hAnsi="仿宋" w:eastAsia="仿宋" w:cs="仿宋"/>
          <w:sz w:val="24"/>
          <w:szCs w:val="24"/>
          <w:lang w:eastAsia="zh-CN"/>
        </w:rPr>
      </w:pPr>
      <w:r>
        <w:rPr>
          <w:rFonts w:hint="eastAsia" w:ascii="仿宋" w:hAnsi="仿宋" w:eastAsia="仿宋" w:cs="仿宋"/>
          <w:sz w:val="24"/>
          <w:szCs w:val="24"/>
        </w:rPr>
        <w:t>1.我单位</w:t>
      </w:r>
      <w:r>
        <w:rPr>
          <w:rFonts w:hint="eastAsia" w:ascii="仿宋" w:hAnsi="仿宋" w:eastAsia="仿宋" w:cs="仿宋"/>
          <w:sz w:val="24"/>
          <w:szCs w:val="24"/>
          <w:lang w:eastAsia="zh-CN"/>
        </w:rPr>
        <w:t>（</w:t>
      </w:r>
      <w:r>
        <w:rPr>
          <w:rFonts w:hint="eastAsia" w:ascii="仿宋" w:hAnsi="仿宋" w:eastAsia="仿宋" w:cs="仿宋"/>
          <w:sz w:val="24"/>
          <w:szCs w:val="24"/>
        </w:rPr>
        <w:t>本人</w:t>
      </w:r>
      <w:r>
        <w:rPr>
          <w:rFonts w:hint="eastAsia" w:ascii="仿宋" w:hAnsi="仿宋" w:eastAsia="仿宋" w:cs="仿宋"/>
          <w:sz w:val="24"/>
          <w:szCs w:val="24"/>
          <w:lang w:eastAsia="zh-CN"/>
        </w:rPr>
        <w:t>）</w:t>
      </w:r>
      <w:r>
        <w:rPr>
          <w:rFonts w:hint="eastAsia" w:ascii="仿宋" w:hAnsi="仿宋" w:eastAsia="仿宋" w:cs="仿宋"/>
          <w:sz w:val="24"/>
          <w:szCs w:val="24"/>
        </w:rPr>
        <w:t>专指参加采购活动的供应商</w:t>
      </w:r>
      <w:r>
        <w:rPr>
          <w:rFonts w:hint="eastAsia" w:ascii="仿宋" w:hAnsi="仿宋" w:eastAsia="仿宋" w:cs="仿宋"/>
          <w:sz w:val="24"/>
          <w:szCs w:val="24"/>
          <w:lang w:eastAsia="zh-CN"/>
        </w:rPr>
        <w:t>（</w:t>
      </w:r>
      <w:r>
        <w:rPr>
          <w:rFonts w:hint="eastAsia" w:ascii="仿宋" w:hAnsi="仿宋" w:eastAsia="仿宋" w:cs="仿宋"/>
          <w:sz w:val="24"/>
          <w:szCs w:val="24"/>
        </w:rPr>
        <w:t>含自然人</w:t>
      </w:r>
      <w:r>
        <w:rPr>
          <w:rFonts w:hint="eastAsia" w:ascii="仿宋" w:hAnsi="仿宋" w:eastAsia="仿宋" w:cs="仿宋"/>
          <w:sz w:val="24"/>
          <w:szCs w:val="24"/>
          <w:lang w:eastAsia="zh-CN"/>
        </w:rPr>
        <w:t>）；</w:t>
      </w:r>
    </w:p>
    <w:p>
      <w:pPr>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 w:hAnsi="仿宋" w:eastAsia="仿宋" w:cs="仿宋"/>
          <w:sz w:val="24"/>
          <w:szCs w:val="24"/>
          <w:lang w:eastAsia="zh-CN"/>
        </w:rPr>
      </w:pPr>
      <w:r>
        <w:rPr>
          <w:rFonts w:hint="eastAsia" w:ascii="仿宋" w:hAnsi="仿宋" w:eastAsia="仿宋" w:cs="仿宋"/>
          <w:sz w:val="24"/>
          <w:szCs w:val="24"/>
        </w:rPr>
        <w:t>2.</w:t>
      </w:r>
      <w:r>
        <w:rPr>
          <w:rFonts w:hint="eastAsia" w:ascii="仿宋" w:hAnsi="仿宋" w:eastAsia="仿宋" w:cs="仿宋"/>
          <w:sz w:val="24"/>
          <w:szCs w:val="24"/>
          <w:lang w:eastAsia="zh-CN"/>
        </w:rPr>
        <w:t>资格承诺的</w:t>
      </w:r>
      <w:r>
        <w:rPr>
          <w:rFonts w:hint="eastAsia" w:ascii="仿宋" w:hAnsi="仿宋" w:eastAsia="仿宋" w:cs="仿宋"/>
          <w:sz w:val="24"/>
          <w:szCs w:val="24"/>
        </w:rPr>
        <w:t>供应商</w:t>
      </w:r>
      <w:r>
        <w:rPr>
          <w:rFonts w:hint="eastAsia" w:ascii="仿宋" w:hAnsi="仿宋" w:eastAsia="仿宋" w:cs="仿宋"/>
          <w:sz w:val="24"/>
          <w:szCs w:val="24"/>
          <w:lang w:eastAsia="zh-CN"/>
        </w:rPr>
        <w:t>应</w:t>
      </w:r>
      <w:r>
        <w:rPr>
          <w:rFonts w:hint="eastAsia" w:ascii="仿宋" w:hAnsi="仿宋" w:eastAsia="仿宋" w:cs="仿宋"/>
          <w:sz w:val="24"/>
          <w:szCs w:val="24"/>
        </w:rPr>
        <w:t>在</w:t>
      </w:r>
      <w:r>
        <w:rPr>
          <w:rFonts w:hint="eastAsia" w:ascii="仿宋" w:hAnsi="仿宋" w:eastAsia="仿宋" w:cs="仿宋"/>
          <w:sz w:val="24"/>
          <w:szCs w:val="24"/>
          <w:lang w:eastAsia="zh-CN"/>
        </w:rPr>
        <w:t>报价</w:t>
      </w:r>
      <w:r>
        <w:rPr>
          <w:rFonts w:hint="eastAsia" w:ascii="仿宋" w:hAnsi="仿宋" w:eastAsia="仿宋" w:cs="仿宋"/>
          <w:sz w:val="24"/>
          <w:szCs w:val="24"/>
        </w:rPr>
        <w:t>文件中按此模板提供承诺函，否则，视为</w:t>
      </w:r>
      <w:r>
        <w:rPr>
          <w:rFonts w:hint="eastAsia" w:ascii="仿宋" w:hAnsi="仿宋" w:eastAsia="仿宋" w:cs="仿宋"/>
          <w:sz w:val="24"/>
          <w:szCs w:val="24"/>
          <w:lang w:eastAsia="zh-CN"/>
        </w:rPr>
        <w:t>未按照比选通知书规定提交报价人的资格及资信文件，按资格审查不通过处理。</w:t>
      </w:r>
    </w:p>
    <w:p>
      <w:pPr>
        <w:rPr>
          <w:rFonts w:hint="eastAsia" w:ascii="仿宋" w:hAnsi="仿宋" w:eastAsia="仿宋" w:cs="仿宋"/>
          <w:color w:val="auto"/>
          <w:sz w:val="28"/>
          <w:szCs w:val="36"/>
          <w:highlight w:val="none"/>
        </w:rPr>
      </w:pPr>
      <w:r>
        <w:rPr>
          <w:rFonts w:hint="eastAsia" w:ascii="仿宋" w:hAnsi="仿宋" w:eastAsia="仿宋" w:cs="仿宋"/>
          <w:sz w:val="24"/>
          <w:szCs w:val="24"/>
          <w:lang w:eastAsia="zh-CN"/>
        </w:rPr>
        <w:br w:type="page"/>
      </w:r>
    </w:p>
    <w:p>
      <w:pPr>
        <w:ind w:left="0" w:leftChars="0" w:firstLine="0" w:firstLineChars="0"/>
        <w:rPr>
          <w:rFonts w:hint="eastAsia" w:ascii="Times New Roman" w:hAnsi="Times New Roman" w:cs="Times New Roman"/>
          <w:b/>
          <w:bCs/>
          <w:sz w:val="32"/>
          <w:szCs w:val="32"/>
          <w:lang w:val="en-US" w:eastAsia="zh-CN"/>
        </w:rPr>
      </w:pPr>
      <w:r>
        <w:rPr>
          <w:rFonts w:hint="default" w:ascii="Times New Roman" w:hAnsi="Times New Roman" w:cs="Times New Roman"/>
          <w:b/>
          <w:bCs/>
          <w:sz w:val="32"/>
          <w:szCs w:val="32"/>
        </w:rPr>
        <w:t>附件</w:t>
      </w:r>
      <w:r>
        <w:rPr>
          <w:rFonts w:hint="eastAsia" w:ascii="Times New Roman" w:hAnsi="Times New Roman" w:cs="Times New Roman"/>
          <w:b/>
          <w:bCs/>
          <w:sz w:val="32"/>
          <w:szCs w:val="32"/>
          <w:lang w:val="en-US" w:eastAsia="zh-CN"/>
        </w:rPr>
        <w:t>2</w:t>
      </w:r>
    </w:p>
    <w:p>
      <w:pPr>
        <w:ind w:left="0" w:leftChars="0" w:firstLine="0" w:firstLineChars="0"/>
        <w:jc w:val="center"/>
        <w:rPr>
          <w:rFonts w:hint="default" w:ascii="Times New Roman" w:hAnsi="Times New Roman" w:eastAsia="华文中宋" w:cs="Times New Roman"/>
          <w:b/>
          <w:bCs w:val="0"/>
          <w:kern w:val="44"/>
          <w:sz w:val="48"/>
          <w:szCs w:val="48"/>
          <w:lang w:val="en-US" w:eastAsia="zh-CN"/>
        </w:rPr>
      </w:pPr>
      <w:r>
        <w:rPr>
          <w:rFonts w:hint="default" w:ascii="Times New Roman" w:hAnsi="Times New Roman" w:eastAsia="华文中宋" w:cs="Times New Roman"/>
          <w:b/>
          <w:bCs w:val="0"/>
          <w:kern w:val="44"/>
          <w:sz w:val="48"/>
          <w:szCs w:val="48"/>
          <w:lang w:val="en-US" w:eastAsia="zh-CN"/>
        </w:rPr>
        <w:t>法定代表人授权书</w:t>
      </w:r>
    </w:p>
    <w:p>
      <w:pPr>
        <w:pageBreakBefore w:val="0"/>
        <w:widowControl w:val="0"/>
        <w:kinsoku/>
        <w:wordWrap/>
        <w:overflowPunct/>
        <w:topLinePunct w:val="0"/>
        <w:autoSpaceDE/>
        <w:autoSpaceDN/>
        <w:bidi w:val="0"/>
        <w:adjustRightInd/>
        <w:snapToGrid/>
        <w:spacing w:line="560" w:lineRule="exact"/>
        <w:ind w:firstLine="480" w:firstLineChars="200"/>
        <w:textAlignment w:val="auto"/>
        <w:rPr>
          <w:rFonts w:hint="default" w:ascii="Times New Roman" w:hAnsi="Times New Roman" w:eastAsia="仿宋" w:cs="Times New Roman"/>
          <w:sz w:val="24"/>
          <w:szCs w:val="24"/>
          <w:lang w:val="en-US" w:eastAsia="zh-CN"/>
        </w:rPr>
      </w:pPr>
    </w:p>
    <w:p>
      <w:pPr>
        <w:rPr>
          <w:rFonts w:hint="default" w:ascii="Times New Roman" w:hAnsi="Times New Roman" w:eastAsia="仿宋" w:cs="Times New Roman"/>
          <w:sz w:val="32"/>
          <w:szCs w:val="32"/>
          <w:lang w:eastAsia="zh-CN"/>
        </w:rPr>
      </w:pPr>
      <w:r>
        <w:rPr>
          <w:rFonts w:hint="default" w:ascii="Times New Roman" w:hAnsi="Times New Roman" w:eastAsia="仿宋" w:cs="Times New Roman"/>
          <w:sz w:val="32"/>
          <w:szCs w:val="32"/>
        </w:rPr>
        <w:t>致：福建</w:t>
      </w:r>
      <w:r>
        <w:rPr>
          <w:rFonts w:hint="default" w:ascii="Times New Roman" w:hAnsi="Times New Roman" w:eastAsia="仿宋" w:cs="Times New Roman"/>
          <w:sz w:val="32"/>
          <w:szCs w:val="32"/>
          <w:lang w:eastAsia="zh-CN"/>
        </w:rPr>
        <w:t>省水利厅</w:t>
      </w:r>
    </w:p>
    <w:p>
      <w:pPr>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我方的法定代表人（</w:t>
      </w:r>
      <w:r>
        <w:rPr>
          <w:rFonts w:hint="default"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）授权 （</w:t>
      </w:r>
      <w:r>
        <w:rPr>
          <w:rFonts w:hint="default"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 为投标代理人，代表我方参加</w:t>
      </w:r>
      <w:r>
        <w:rPr>
          <w:rFonts w:hint="default" w:ascii="Times New Roman" w:hAnsi="Times New Roman" w:eastAsia="仿宋" w:cs="Times New Roman"/>
          <w:sz w:val="32"/>
          <w:szCs w:val="32"/>
          <w:lang w:val="en-US" w:eastAsia="zh-CN"/>
        </w:rPr>
        <w:t>___________________项目</w:t>
      </w:r>
      <w:r>
        <w:rPr>
          <w:rFonts w:hint="default" w:ascii="Times New Roman" w:hAnsi="Times New Roman" w:eastAsia="仿宋" w:cs="Times New Roman"/>
          <w:sz w:val="32"/>
          <w:szCs w:val="32"/>
        </w:rPr>
        <w:t>的投标，全权代表我方处理投标过</w:t>
      </w:r>
      <w:r>
        <w:rPr>
          <w:rFonts w:hint="default" w:ascii="Times New Roman" w:hAnsi="Times New Roman" w:eastAsia="仿宋" w:cs="Times New Roman"/>
          <w:sz w:val="32"/>
          <w:szCs w:val="32"/>
          <w:lang w:eastAsia="zh-CN"/>
        </w:rPr>
        <w:t>程中</w:t>
      </w:r>
      <w:r>
        <w:rPr>
          <w:rFonts w:hint="default" w:ascii="Times New Roman" w:hAnsi="Times New Roman" w:eastAsia="仿宋" w:cs="Times New Roman"/>
          <w:sz w:val="32"/>
          <w:szCs w:val="32"/>
        </w:rPr>
        <w:t>的一切事宜，包括但不限于：投标、谈判、澄清、签约等。投标人代表在投标过程中所签署的一切文件和处理与之有关的一切事务，我方均予以认可并对此承担责任。</w:t>
      </w:r>
    </w:p>
    <w:p>
      <w:pPr>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投标人代表无转委权。特此授权。</w:t>
      </w:r>
    </w:p>
    <w:p>
      <w:pPr>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rPr>
        <w:t>法定代表人：</w:t>
      </w:r>
      <w:r>
        <w:rPr>
          <w:rFonts w:hint="default" w:ascii="Times New Roman" w:hAnsi="Times New Roman" w:eastAsia="仿宋" w:cs="Times New Roman"/>
          <w:sz w:val="32"/>
          <w:szCs w:val="32"/>
          <w:lang w:val="en-US" w:eastAsia="zh-CN"/>
        </w:rPr>
        <w:t>XXX</w:t>
      </w:r>
      <w:r>
        <w:rPr>
          <w:rFonts w:hint="default" w:ascii="Times New Roman" w:hAnsi="Times New Roman" w:eastAsia="仿宋" w:cs="Times New Roman"/>
          <w:sz w:val="32"/>
          <w:szCs w:val="32"/>
        </w:rPr>
        <w:t xml:space="preserve"> 身份证号：</w:t>
      </w:r>
      <w:r>
        <w:rPr>
          <w:rFonts w:hint="default" w:ascii="Times New Roman" w:hAnsi="Times New Roman" w:eastAsia="仿宋" w:cs="Times New Roman"/>
          <w:sz w:val="32"/>
          <w:szCs w:val="32"/>
          <w:lang w:val="en-US" w:eastAsia="zh-CN"/>
        </w:rPr>
        <w:t>XXXXXXXX</w:t>
      </w:r>
      <w:r>
        <w:rPr>
          <w:rFonts w:hint="default" w:ascii="Times New Roman" w:hAnsi="Times New Roman" w:eastAsia="仿宋" w:cs="Times New Roman"/>
          <w:sz w:val="32"/>
          <w:szCs w:val="32"/>
        </w:rPr>
        <w:t>手机：</w:t>
      </w:r>
      <w:r>
        <w:rPr>
          <w:rFonts w:hint="default" w:ascii="Times New Roman" w:hAnsi="Times New Roman" w:eastAsia="仿宋" w:cs="Times New Roman"/>
          <w:sz w:val="32"/>
          <w:szCs w:val="32"/>
          <w:lang w:val="en-US" w:eastAsia="zh-CN"/>
        </w:rPr>
        <w:t>XXXXXXXXX</w:t>
      </w:r>
    </w:p>
    <w:p>
      <w:pPr>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rPr>
        <w:t>投标代理人：</w:t>
      </w:r>
      <w:r>
        <w:rPr>
          <w:rFonts w:hint="default" w:ascii="Times New Roman" w:hAnsi="Times New Roman" w:eastAsia="仿宋" w:cs="Times New Roman"/>
          <w:sz w:val="32"/>
          <w:szCs w:val="32"/>
          <w:lang w:val="en-US" w:eastAsia="zh-CN"/>
        </w:rPr>
        <w:t>XXX</w:t>
      </w:r>
      <w:r>
        <w:rPr>
          <w:rFonts w:hint="default" w:ascii="Times New Roman" w:hAnsi="Times New Roman" w:eastAsia="仿宋" w:cs="Times New Roman"/>
          <w:sz w:val="32"/>
          <w:szCs w:val="32"/>
        </w:rPr>
        <w:t xml:space="preserve"> 身份证号：</w:t>
      </w:r>
      <w:r>
        <w:rPr>
          <w:rFonts w:hint="default" w:ascii="Times New Roman" w:hAnsi="Times New Roman" w:eastAsia="仿宋" w:cs="Times New Roman"/>
          <w:sz w:val="32"/>
          <w:szCs w:val="32"/>
          <w:lang w:val="en-US" w:eastAsia="zh-CN"/>
        </w:rPr>
        <w:t>XXXXXXXX</w:t>
      </w:r>
      <w:r>
        <w:rPr>
          <w:rFonts w:hint="default" w:ascii="Times New Roman" w:hAnsi="Times New Roman" w:eastAsia="仿宋" w:cs="Times New Roman"/>
          <w:sz w:val="32"/>
          <w:szCs w:val="32"/>
        </w:rPr>
        <w:t>手机：</w:t>
      </w:r>
      <w:r>
        <w:rPr>
          <w:rFonts w:hint="default" w:ascii="Times New Roman" w:hAnsi="Times New Roman" w:eastAsia="仿宋" w:cs="Times New Roman"/>
          <w:sz w:val="32"/>
          <w:szCs w:val="32"/>
          <w:lang w:val="en-US" w:eastAsia="zh-CN"/>
        </w:rPr>
        <w:t>XXXXXXXXX</w:t>
      </w:r>
    </w:p>
    <w:p>
      <w:pPr>
        <w:rPr>
          <w:rFonts w:hint="default" w:ascii="Times New Roman" w:hAnsi="Times New Roman" w:eastAsia="仿宋" w:cs="Times New Roman"/>
          <w:sz w:val="32"/>
          <w:szCs w:val="32"/>
        </w:rPr>
      </w:pPr>
      <w:r>
        <w:rPr>
          <w:rFonts w:hint="default" w:ascii="Times New Roman" w:hAnsi="Times New Roman" w:eastAsia="仿宋" w:cs="Times New Roman"/>
          <w:sz w:val="32"/>
          <w:szCs w:val="32"/>
        </w:rPr>
        <w:t>授权方</w:t>
      </w:r>
    </w:p>
    <w:p>
      <w:pPr>
        <w:rPr>
          <w:rFonts w:hint="default" w:ascii="Times New Roman" w:hAnsi="Times New Roman" w:eastAsia="仿宋" w:cs="Times New Roman"/>
          <w:sz w:val="32"/>
          <w:szCs w:val="32"/>
        </w:rPr>
      </w:pPr>
      <w:r>
        <w:rPr>
          <w:rFonts w:hint="default" w:ascii="Times New Roman" w:hAnsi="Times New Roman" w:eastAsia="仿宋" w:cs="Times New Roman"/>
          <w:sz w:val="32"/>
          <w:szCs w:val="32"/>
        </w:rPr>
        <w:t>投标人：</w:t>
      </w:r>
      <w:r>
        <w:rPr>
          <w:rFonts w:hint="default" w:ascii="Times New Roman" w:hAnsi="Times New Roman" w:eastAsia="仿宋" w:cs="Times New Roman"/>
          <w:sz w:val="32"/>
          <w:szCs w:val="32"/>
          <w:lang w:val="en-US" w:eastAsia="zh-CN"/>
        </w:rPr>
        <w:t>XXXXXX</w:t>
      </w:r>
      <w:r>
        <w:rPr>
          <w:rFonts w:hint="default" w:ascii="Times New Roman" w:hAnsi="Times New Roman" w:eastAsia="仿宋" w:cs="Times New Roman"/>
          <w:sz w:val="32"/>
          <w:szCs w:val="32"/>
        </w:rPr>
        <w:t>有限公司（全称并加盖单位公章）</w:t>
      </w:r>
    </w:p>
    <w:p>
      <w:pPr>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rPr>
        <w:t>法定代表人签字或</w:t>
      </w:r>
      <w:r>
        <w:rPr>
          <w:rFonts w:hint="default" w:ascii="Times New Roman" w:hAnsi="Times New Roman" w:eastAsia="仿宋" w:cs="Times New Roman"/>
          <w:sz w:val="32"/>
          <w:szCs w:val="32"/>
          <w:lang w:eastAsia="zh-CN"/>
        </w:rPr>
        <w:t>盖章：（</w:t>
      </w:r>
      <w:r>
        <w:rPr>
          <w:rFonts w:hint="default"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lang w:eastAsia="zh-CN"/>
        </w:rPr>
        <w:t>）</w:t>
      </w:r>
    </w:p>
    <w:p>
      <w:pPr>
        <w:rPr>
          <w:rFonts w:hint="default" w:ascii="Times New Roman" w:hAnsi="Times New Roman" w:eastAsia="仿宋" w:cs="Times New Roman"/>
          <w:sz w:val="32"/>
          <w:szCs w:val="32"/>
        </w:rPr>
      </w:pPr>
      <w:r>
        <w:rPr>
          <w:rFonts w:hint="default" w:ascii="Times New Roman" w:hAnsi="Times New Roman" w:eastAsia="仿宋" w:cs="Times New Roman"/>
          <w:sz w:val="32"/>
          <w:szCs w:val="32"/>
        </w:rPr>
        <w:t>接受授权方</w:t>
      </w:r>
    </w:p>
    <w:p>
      <w:pPr>
        <w:rPr>
          <w:rFonts w:hint="default" w:ascii="Times New Roman" w:hAnsi="Times New Roman" w:eastAsia="仿宋" w:cs="Times New Roman"/>
          <w:sz w:val="32"/>
          <w:szCs w:val="32"/>
        </w:rPr>
      </w:pPr>
      <w:r>
        <w:rPr>
          <w:rFonts w:hint="default" w:ascii="Times New Roman" w:hAnsi="Times New Roman" w:eastAsia="仿宋" w:cs="Times New Roman"/>
          <w:sz w:val="32"/>
          <w:szCs w:val="32"/>
        </w:rPr>
        <w:t>投标代理人签字：</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lang w:eastAsia="zh-CN"/>
        </w:rPr>
        <w:t>）</w:t>
      </w:r>
    </w:p>
    <w:p>
      <w:pPr>
        <w:rPr>
          <w:rFonts w:hint="default" w:ascii="Times New Roman" w:hAnsi="Times New Roman" w:eastAsia="仿宋" w:cs="Times New Roman"/>
          <w:sz w:val="32"/>
          <w:szCs w:val="32"/>
        </w:rPr>
      </w:pPr>
      <w:r>
        <w:rPr>
          <w:rFonts w:hint="default" w:ascii="Times New Roman" w:hAnsi="Times New Roman" w:eastAsia="仿宋" w:cs="Times New Roman"/>
          <w:sz w:val="32"/>
          <w:szCs w:val="32"/>
        </w:rPr>
        <w:t>签署日期：202</w:t>
      </w:r>
      <w:r>
        <w:rPr>
          <w:rFonts w:hint="default" w:ascii="Times New Roman" w:hAnsi="Times New Roman" w:eastAsia="仿宋" w:cs="Times New Roman"/>
          <w:sz w:val="32"/>
          <w:szCs w:val="32"/>
          <w:lang w:val="en-US" w:eastAsia="zh-CN"/>
        </w:rPr>
        <w:t>X</w:t>
      </w:r>
      <w:r>
        <w:rPr>
          <w:rFonts w:hint="default" w:ascii="Times New Roman" w:hAnsi="Times New Roman" w:eastAsia="仿宋" w:cs="Times New Roman"/>
          <w:sz w:val="32"/>
          <w:szCs w:val="32"/>
        </w:rPr>
        <w:t>年</w:t>
      </w:r>
      <w:r>
        <w:rPr>
          <w:rFonts w:hint="default" w:ascii="Times New Roman" w:hAnsi="Times New Roman" w:eastAsia="仿宋" w:cs="Times New Roman"/>
          <w:sz w:val="32"/>
          <w:szCs w:val="32"/>
          <w:lang w:val="en-US" w:eastAsia="zh-CN"/>
        </w:rPr>
        <w:t>X</w:t>
      </w:r>
      <w:r>
        <w:rPr>
          <w:rFonts w:hint="default" w:ascii="Times New Roman" w:hAnsi="Times New Roman" w:eastAsia="仿宋" w:cs="Times New Roman"/>
          <w:sz w:val="32"/>
          <w:szCs w:val="32"/>
        </w:rPr>
        <w:t>月</w:t>
      </w:r>
      <w:r>
        <w:rPr>
          <w:rFonts w:hint="default" w:ascii="Times New Roman" w:hAnsi="Times New Roman" w:eastAsia="仿宋" w:cs="Times New Roman"/>
          <w:sz w:val="32"/>
          <w:szCs w:val="32"/>
          <w:lang w:val="en-US" w:eastAsia="zh-CN"/>
        </w:rPr>
        <w:t>XX</w:t>
      </w:r>
      <w:r>
        <w:rPr>
          <w:rFonts w:hint="default" w:ascii="Times New Roman" w:hAnsi="Times New Roman" w:eastAsia="仿宋" w:cs="Times New Roman"/>
          <w:sz w:val="32"/>
          <w:szCs w:val="32"/>
        </w:rPr>
        <w:t>日</w:t>
      </w:r>
    </w:p>
    <w:p>
      <w:pPr>
        <w:rPr>
          <w:rFonts w:hint="default" w:ascii="Times New Roman" w:hAnsi="Times New Roman" w:eastAsia="仿宋" w:cs="Times New Roman"/>
          <w:sz w:val="32"/>
          <w:szCs w:val="32"/>
        </w:rPr>
      </w:pPr>
      <w:r>
        <w:rPr>
          <w:rFonts w:hint="default" w:ascii="Times New Roman" w:hAnsi="Times New Roman" w:eastAsia="仿宋" w:cs="Times New Roman"/>
          <w:sz w:val="32"/>
          <w:szCs w:val="32"/>
        </w:rPr>
        <w:t>附：法定代表人、投标代理人的身份证正反面复印件</w:t>
      </w:r>
    </w:p>
    <w:p>
      <w:pPr>
        <w:ind w:left="0" w:leftChars="0" w:firstLine="0" w:firstLineChars="0"/>
        <w:rPr>
          <w:rFonts w:hint="eastAsia" w:ascii="Times New Roman" w:hAnsi="Times New Roman" w:eastAsia="宋体" w:cs="Times New Roman"/>
          <w:b/>
          <w:bCs/>
          <w:sz w:val="32"/>
          <w:szCs w:val="32"/>
          <w:lang w:val="en-US" w:eastAsia="zh-CN"/>
        </w:rPr>
      </w:pPr>
      <w:r>
        <w:rPr>
          <w:rFonts w:hint="default" w:ascii="Times New Roman" w:hAnsi="Times New Roman" w:cs="Times New Roman"/>
          <w:b/>
          <w:bCs/>
          <w:sz w:val="32"/>
          <w:szCs w:val="32"/>
        </w:rPr>
        <w:t>附件</w:t>
      </w:r>
      <w:r>
        <w:rPr>
          <w:rFonts w:hint="eastAsia" w:ascii="Times New Roman" w:cs="Times New Roman"/>
          <w:b/>
          <w:bCs/>
          <w:sz w:val="32"/>
          <w:szCs w:val="32"/>
          <w:lang w:val="en-US" w:eastAsia="zh-CN"/>
        </w:rPr>
        <w:t>3</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leftChars="0" w:right="0" w:firstLine="0" w:firstLineChars="0"/>
        <w:jc w:val="center"/>
        <w:textAlignment w:val="auto"/>
        <w:rPr>
          <w:rFonts w:hint="eastAsia" w:ascii="Times New Roman" w:hAnsi="Times New Roman" w:eastAsia="华文中宋" w:cs="Times New Roman"/>
          <w:b/>
          <w:bCs w:val="0"/>
          <w:kern w:val="44"/>
          <w:sz w:val="48"/>
          <w:szCs w:val="48"/>
          <w:lang w:val="en-US" w:eastAsia="zh-CN" w:bidi="ar-SA"/>
        </w:rPr>
      </w:pP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leftChars="0" w:right="0" w:firstLine="0" w:firstLineChars="0"/>
        <w:jc w:val="center"/>
        <w:textAlignment w:val="auto"/>
        <w:rPr>
          <w:rFonts w:hint="eastAsia" w:ascii="Times New Roman" w:hAnsi="Times New Roman" w:eastAsia="华文中宋" w:cs="Times New Roman"/>
          <w:b/>
          <w:bCs w:val="0"/>
          <w:kern w:val="44"/>
          <w:sz w:val="48"/>
          <w:szCs w:val="48"/>
          <w:lang w:val="en-US" w:eastAsia="zh-CN" w:bidi="ar-SA"/>
        </w:rPr>
      </w:pPr>
      <w:r>
        <w:rPr>
          <w:rFonts w:hint="eastAsia" w:ascii="Times New Roman" w:hAnsi="Times New Roman" w:eastAsia="华文中宋" w:cs="Times New Roman"/>
          <w:b/>
          <w:bCs w:val="0"/>
          <w:kern w:val="44"/>
          <w:sz w:val="48"/>
          <w:szCs w:val="48"/>
          <w:lang w:val="en-US" w:eastAsia="zh-CN" w:bidi="ar-SA"/>
        </w:rPr>
        <w:t>福建省水利安全生产数据归聚治理与</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leftChars="0" w:right="0" w:firstLine="0" w:firstLineChars="0"/>
        <w:jc w:val="center"/>
        <w:textAlignment w:val="auto"/>
        <w:rPr>
          <w:rFonts w:hint="eastAsia" w:ascii="Times New Roman" w:hAnsi="Times New Roman" w:eastAsia="华文中宋" w:cs="Times New Roman"/>
          <w:b/>
          <w:bCs w:val="0"/>
          <w:kern w:val="44"/>
          <w:sz w:val="48"/>
          <w:szCs w:val="48"/>
          <w:lang w:val="en-US" w:eastAsia="zh-CN" w:bidi="ar-SA"/>
        </w:rPr>
      </w:pPr>
      <w:r>
        <w:rPr>
          <w:rFonts w:hint="eastAsia" w:ascii="Times New Roman" w:hAnsi="Times New Roman" w:eastAsia="华文中宋" w:cs="Times New Roman"/>
          <w:b/>
          <w:bCs w:val="0"/>
          <w:kern w:val="44"/>
          <w:sz w:val="48"/>
          <w:szCs w:val="48"/>
          <w:lang w:val="en-US" w:eastAsia="zh-CN" w:bidi="ar-SA"/>
        </w:rPr>
        <w:t>综合应用服务采购项目服务方案</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leftChars="0" w:right="0" w:firstLine="0" w:firstLineChars="0"/>
        <w:jc w:val="center"/>
        <w:textAlignment w:val="auto"/>
        <w:rPr>
          <w:rFonts w:hint="eastAsia" w:ascii="方正小标宋简体" w:hAnsi="方正小标宋简体" w:eastAsia="方正小标宋简体" w:cs="方正小标宋简体"/>
          <w:b w:val="0"/>
          <w:bCs/>
          <w:kern w:val="44"/>
          <w:sz w:val="48"/>
          <w:szCs w:val="48"/>
          <w:lang w:val="en-US" w:eastAsia="zh-CN" w:bidi="ar-SA"/>
        </w:rPr>
      </w:pP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right="0" w:firstLine="602" w:firstLineChars="200"/>
        <w:jc w:val="both"/>
        <w:textAlignment w:val="auto"/>
        <w:rPr>
          <w:rFonts w:hint="eastAsia" w:ascii="仿宋_GB2312" w:hAnsi="仿宋_GB2312" w:eastAsia="仿宋_GB2312" w:cs="仿宋_GB2312"/>
          <w:b/>
          <w:bCs/>
          <w:kern w:val="2"/>
          <w:sz w:val="30"/>
          <w:szCs w:val="32"/>
          <w:lang w:val="en-US" w:eastAsia="zh-CN" w:bidi="ar-SA"/>
        </w:rPr>
      </w:pPr>
      <w:r>
        <w:rPr>
          <w:rFonts w:hint="eastAsia" w:ascii="仿宋_GB2312" w:hAnsi="仿宋_GB2312" w:eastAsia="仿宋_GB2312" w:cs="仿宋_GB2312"/>
          <w:b/>
          <w:bCs/>
          <w:kern w:val="2"/>
          <w:sz w:val="30"/>
          <w:szCs w:val="32"/>
          <w:lang w:val="en-US" w:eastAsia="zh-CN" w:bidi="ar-SA"/>
        </w:rPr>
        <w:t>（一）水利安全生产“六项机制”数字信息档案建设</w:t>
      </w:r>
    </w:p>
    <w:p>
      <w:pPr>
        <w:pageBreakBefore w:val="0"/>
        <w:widowControl/>
        <w:kinsoku/>
        <w:wordWrap/>
        <w:overflowPunct/>
        <w:topLinePunct w:val="0"/>
        <w:autoSpaceDE/>
        <w:autoSpaceDN/>
        <w:bidi w:val="0"/>
        <w:spacing w:line="590" w:lineRule="exact"/>
        <w:ind w:firstLine="560"/>
        <w:jc w:val="left"/>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围绕水利安全生产风险管控“六项机制”，覆盖项目基础、风险查找、风险研判、风险预警、风险防范、风险处置、责任落实七大核心维度，辅助收集、整理、电子化处理和归档各类资料，最终建成一个数字档案体系，为今后的全链条风险管控提供数据支撑。</w:t>
      </w:r>
    </w:p>
    <w:p>
      <w:pPr>
        <w:pageBreakBefore w:val="0"/>
        <w:numPr>
          <w:ilvl w:val="0"/>
          <w:numId w:val="0"/>
        </w:numPr>
        <w:kinsoku/>
        <w:wordWrap/>
        <w:overflowPunct/>
        <w:topLinePunct w:val="0"/>
        <w:autoSpaceDE/>
        <w:autoSpaceDN/>
        <w:bidi w:val="0"/>
        <w:spacing w:line="590" w:lineRule="exact"/>
        <w:ind w:left="0" w:leftChars="0" w:firstLine="600" w:firstLineChars="200"/>
        <w:jc w:val="left"/>
        <w:textAlignment w:val="auto"/>
        <w:rPr>
          <w:rFonts w:hint="eastAsia" w:ascii="仿宋_GB2312" w:hAnsi="仿宋_GB2312" w:eastAsia="仿宋_GB2312" w:cs="仿宋_GB2312"/>
          <w:b w:val="0"/>
          <w:bCs w:val="0"/>
          <w:kern w:val="2"/>
          <w:sz w:val="30"/>
          <w:szCs w:val="32"/>
          <w:lang w:val="en-US" w:eastAsia="zh-CN" w:bidi="ar-SA"/>
        </w:rPr>
      </w:pPr>
      <w:r>
        <w:rPr>
          <w:rFonts w:hint="eastAsia" w:ascii="仿宋_GB2312" w:hAnsi="仿宋_GB2312" w:eastAsia="仿宋_GB2312" w:cs="仿宋_GB2312"/>
          <w:b w:val="0"/>
          <w:bCs w:val="0"/>
          <w:kern w:val="2"/>
          <w:sz w:val="30"/>
          <w:szCs w:val="32"/>
          <w:lang w:val="en-US" w:eastAsia="zh-CN" w:bidi="ar-SA"/>
        </w:rPr>
        <w:t>1、“六项机制”全要素数字信息收集服务</w:t>
      </w:r>
    </w:p>
    <w:p>
      <w:pPr>
        <w:pageBreakBefore w:val="0"/>
        <w:numPr>
          <w:ilvl w:val="0"/>
          <w:numId w:val="0"/>
        </w:numPr>
        <w:kinsoku/>
        <w:wordWrap/>
        <w:overflowPunct/>
        <w:topLinePunct w:val="0"/>
        <w:autoSpaceDE/>
        <w:autoSpaceDN/>
        <w:bidi w:val="0"/>
        <w:spacing w:line="590" w:lineRule="exact"/>
        <w:ind w:firstLine="600" w:firstLineChars="200"/>
        <w:jc w:val="both"/>
        <w:textAlignment w:val="auto"/>
        <w:rPr>
          <w:rFonts w:hint="eastAsia" w:ascii="仿宋_GB2312" w:hAnsi="仿宋_GB2312" w:eastAsia="仿宋_GB2312" w:cs="仿宋_GB2312"/>
          <w:b w:val="0"/>
          <w:bCs w:val="0"/>
          <w:kern w:val="2"/>
          <w:sz w:val="30"/>
          <w:szCs w:val="32"/>
          <w:lang w:val="en-US" w:eastAsia="zh-CN" w:bidi="ar-SA"/>
        </w:rPr>
      </w:pPr>
      <w:r>
        <w:rPr>
          <w:rFonts w:hint="eastAsia" w:ascii="仿宋_GB2312" w:hAnsi="仿宋_GB2312" w:eastAsia="仿宋_GB2312" w:cs="仿宋_GB2312"/>
          <w:b w:val="0"/>
          <w:bCs w:val="0"/>
          <w:kern w:val="2"/>
          <w:sz w:val="30"/>
          <w:szCs w:val="32"/>
          <w:lang w:val="en-US" w:eastAsia="zh-CN" w:bidi="ar-SA"/>
        </w:rPr>
        <w:t>（1）项目基础数据：收集全省水利工程（水库、水闸、堤防等）的基础信息台账、建设与运行管理概况、工程安全鉴定报告以及历史遗留问题清单等。</w:t>
      </w:r>
    </w:p>
    <w:p>
      <w:pPr>
        <w:pageBreakBefore w:val="0"/>
        <w:numPr>
          <w:ilvl w:val="0"/>
          <w:numId w:val="0"/>
        </w:numPr>
        <w:kinsoku/>
        <w:wordWrap/>
        <w:overflowPunct/>
        <w:topLinePunct w:val="0"/>
        <w:autoSpaceDE/>
        <w:autoSpaceDN/>
        <w:bidi w:val="0"/>
        <w:spacing w:line="590" w:lineRule="exact"/>
        <w:ind w:firstLine="600" w:firstLineChars="200"/>
        <w:jc w:val="both"/>
        <w:textAlignment w:val="auto"/>
        <w:rPr>
          <w:rFonts w:hint="eastAsia" w:ascii="仿宋_GB2312" w:hAnsi="仿宋_GB2312" w:eastAsia="仿宋_GB2312" w:cs="仿宋_GB2312"/>
          <w:b w:val="0"/>
          <w:bCs w:val="0"/>
          <w:kern w:val="2"/>
          <w:sz w:val="30"/>
          <w:szCs w:val="32"/>
          <w:lang w:val="en-US" w:eastAsia="zh-CN" w:bidi="ar-SA"/>
        </w:rPr>
      </w:pPr>
      <w:r>
        <w:rPr>
          <w:rFonts w:hint="eastAsia" w:ascii="仿宋_GB2312" w:hAnsi="仿宋_GB2312" w:eastAsia="仿宋_GB2312" w:cs="仿宋_GB2312"/>
          <w:b w:val="0"/>
          <w:bCs w:val="0"/>
          <w:kern w:val="2"/>
          <w:sz w:val="30"/>
          <w:szCs w:val="32"/>
          <w:lang w:val="en-US" w:eastAsia="zh-CN" w:bidi="ar-SA"/>
        </w:rPr>
        <w:t>（2）风险查找数据：收集危险源辨识制度、全员辨识记录、重大及一般危险源清单，以及风险排查底数资料。</w:t>
      </w:r>
    </w:p>
    <w:p>
      <w:pPr>
        <w:pageBreakBefore w:val="0"/>
        <w:numPr>
          <w:ilvl w:val="0"/>
          <w:numId w:val="0"/>
        </w:numPr>
        <w:kinsoku/>
        <w:wordWrap/>
        <w:overflowPunct/>
        <w:topLinePunct w:val="0"/>
        <w:autoSpaceDE/>
        <w:autoSpaceDN/>
        <w:bidi w:val="0"/>
        <w:spacing w:line="590" w:lineRule="exact"/>
        <w:ind w:left="0" w:leftChars="0" w:firstLine="600" w:firstLineChars="200"/>
        <w:jc w:val="both"/>
        <w:textAlignment w:val="auto"/>
        <w:rPr>
          <w:rFonts w:hint="eastAsia" w:ascii="仿宋_GB2312" w:hAnsi="仿宋_GB2312" w:eastAsia="仿宋_GB2312" w:cs="仿宋_GB2312"/>
          <w:b w:val="0"/>
          <w:bCs w:val="0"/>
          <w:kern w:val="2"/>
          <w:sz w:val="30"/>
          <w:szCs w:val="32"/>
          <w:lang w:val="en-US" w:eastAsia="zh-CN" w:bidi="ar-SA"/>
        </w:rPr>
      </w:pPr>
      <w:r>
        <w:rPr>
          <w:rFonts w:hint="eastAsia" w:ascii="仿宋_GB2312" w:hAnsi="仿宋_GB2312" w:eastAsia="仿宋_GB2312" w:cs="仿宋_GB2312"/>
          <w:b w:val="0"/>
          <w:bCs w:val="0"/>
          <w:kern w:val="2"/>
          <w:sz w:val="30"/>
          <w:szCs w:val="32"/>
          <w:lang w:val="en-US" w:eastAsia="zh-CN" w:bidi="ar-SA"/>
        </w:rPr>
        <w:t>（3）风险研判数据：收集主要包括风险等级评定记录、安全风险空间分布图（红橙黄蓝四色图）、重大风险专项档案，以及定期开展的安全评估报告等。</w:t>
      </w:r>
    </w:p>
    <w:p>
      <w:pPr>
        <w:pageBreakBefore w:val="0"/>
        <w:numPr>
          <w:ilvl w:val="0"/>
          <w:numId w:val="0"/>
        </w:numPr>
        <w:kinsoku/>
        <w:wordWrap/>
        <w:overflowPunct/>
        <w:topLinePunct w:val="0"/>
        <w:autoSpaceDE/>
        <w:autoSpaceDN/>
        <w:bidi w:val="0"/>
        <w:spacing w:line="590" w:lineRule="exact"/>
        <w:ind w:left="0" w:leftChars="0" w:firstLine="600" w:firstLineChars="200"/>
        <w:jc w:val="both"/>
        <w:textAlignment w:val="auto"/>
        <w:rPr>
          <w:rFonts w:hint="eastAsia" w:ascii="仿宋_GB2312" w:hAnsi="仿宋_GB2312" w:eastAsia="仿宋_GB2312" w:cs="仿宋_GB2312"/>
          <w:b w:val="0"/>
          <w:bCs w:val="0"/>
          <w:kern w:val="2"/>
          <w:sz w:val="30"/>
          <w:szCs w:val="32"/>
          <w:lang w:val="en-US" w:eastAsia="zh-CN" w:bidi="ar-SA"/>
        </w:rPr>
      </w:pPr>
      <w:r>
        <w:rPr>
          <w:rFonts w:hint="eastAsia" w:ascii="仿宋_GB2312" w:hAnsi="仿宋_GB2312" w:eastAsia="仿宋_GB2312" w:cs="仿宋_GB2312"/>
          <w:b w:val="0"/>
          <w:bCs w:val="0"/>
          <w:kern w:val="2"/>
          <w:sz w:val="30"/>
          <w:szCs w:val="32"/>
          <w:lang w:val="en-US" w:eastAsia="zh-CN" w:bidi="ar-SA"/>
        </w:rPr>
        <w:t>（4）风险预警数据收集：主要包括监测监控体系建设情况、自动化监测与人工巡查记录、预警信息发布阈值设定、历史预警触发与响应记录、值班值守制度及预警解除后的复盘总结资料。</w:t>
      </w:r>
    </w:p>
    <w:p>
      <w:pPr>
        <w:pageBreakBefore w:val="0"/>
        <w:numPr>
          <w:ilvl w:val="0"/>
          <w:numId w:val="0"/>
        </w:numPr>
        <w:kinsoku/>
        <w:wordWrap/>
        <w:overflowPunct/>
        <w:topLinePunct w:val="0"/>
        <w:autoSpaceDE/>
        <w:autoSpaceDN/>
        <w:bidi w:val="0"/>
        <w:spacing w:line="590" w:lineRule="exact"/>
        <w:ind w:left="0" w:leftChars="0" w:firstLine="600" w:firstLineChars="200"/>
        <w:jc w:val="both"/>
        <w:textAlignment w:val="auto"/>
        <w:rPr>
          <w:rFonts w:hint="eastAsia" w:ascii="仿宋_GB2312" w:hAnsi="仿宋_GB2312" w:eastAsia="仿宋_GB2312" w:cs="仿宋_GB2312"/>
          <w:b w:val="0"/>
          <w:bCs w:val="0"/>
          <w:kern w:val="2"/>
          <w:sz w:val="30"/>
          <w:szCs w:val="32"/>
          <w:lang w:val="en-US" w:eastAsia="zh-CN" w:bidi="ar-SA"/>
        </w:rPr>
      </w:pPr>
      <w:r>
        <w:rPr>
          <w:rFonts w:hint="eastAsia" w:ascii="仿宋_GB2312" w:hAnsi="仿宋_GB2312" w:eastAsia="仿宋_GB2312" w:cs="仿宋_GB2312"/>
          <w:b w:val="0"/>
          <w:bCs w:val="0"/>
          <w:kern w:val="2"/>
          <w:sz w:val="30"/>
          <w:szCs w:val="32"/>
          <w:lang w:val="en-US" w:eastAsia="zh-CN" w:bidi="ar-SA"/>
        </w:rPr>
        <w:t>（5）风险防范数据收集：主要包括风险公告栏与岗位告知卡设置记录、风险分级管控措施清单、隐患排查治理台账、安全生产标准化建设资料以及针对重大风险采取的隔离、技改等具体防范方案。</w:t>
      </w:r>
    </w:p>
    <w:p>
      <w:pPr>
        <w:pageBreakBefore w:val="0"/>
        <w:numPr>
          <w:ilvl w:val="0"/>
          <w:numId w:val="0"/>
        </w:numPr>
        <w:kinsoku/>
        <w:wordWrap/>
        <w:overflowPunct/>
        <w:topLinePunct w:val="0"/>
        <w:autoSpaceDE/>
        <w:autoSpaceDN/>
        <w:bidi w:val="0"/>
        <w:spacing w:line="590" w:lineRule="exact"/>
        <w:ind w:left="0" w:leftChars="0" w:firstLine="600" w:firstLineChars="200"/>
        <w:jc w:val="both"/>
        <w:textAlignment w:val="auto"/>
        <w:rPr>
          <w:rFonts w:hint="eastAsia" w:ascii="仿宋_GB2312" w:hAnsi="仿宋_GB2312" w:eastAsia="仿宋_GB2312" w:cs="仿宋_GB2312"/>
          <w:b w:val="0"/>
          <w:bCs w:val="0"/>
          <w:kern w:val="2"/>
          <w:sz w:val="30"/>
          <w:szCs w:val="32"/>
          <w:lang w:val="en-US" w:eastAsia="zh-CN" w:bidi="ar-SA"/>
        </w:rPr>
      </w:pPr>
      <w:r>
        <w:rPr>
          <w:rFonts w:hint="eastAsia" w:ascii="仿宋_GB2312" w:hAnsi="仿宋_GB2312" w:eastAsia="仿宋_GB2312" w:cs="仿宋_GB2312"/>
          <w:b w:val="0"/>
          <w:bCs w:val="0"/>
          <w:kern w:val="2"/>
          <w:sz w:val="30"/>
          <w:szCs w:val="32"/>
          <w:lang w:val="en-US" w:eastAsia="zh-CN" w:bidi="ar-SA"/>
        </w:rPr>
        <w:t>（6）风险处置数据收集：主要包括生产安全事故应急预案体系、应急物资与装备储备清单、应急救援队伍组建情况、历年应急演练记录与评估报告以及突发事件的应急处置与救援档案。</w:t>
      </w:r>
    </w:p>
    <w:p>
      <w:pPr>
        <w:pageBreakBefore w:val="0"/>
        <w:numPr>
          <w:ilvl w:val="0"/>
          <w:numId w:val="0"/>
        </w:numPr>
        <w:kinsoku/>
        <w:wordWrap/>
        <w:overflowPunct/>
        <w:topLinePunct w:val="0"/>
        <w:autoSpaceDE/>
        <w:autoSpaceDN/>
        <w:bidi w:val="0"/>
        <w:spacing w:line="590" w:lineRule="exact"/>
        <w:ind w:left="0" w:leftChars="0" w:firstLine="600" w:firstLineChars="200"/>
        <w:jc w:val="both"/>
        <w:textAlignment w:val="auto"/>
        <w:rPr>
          <w:rFonts w:hint="eastAsia" w:ascii="仿宋_GB2312" w:hAnsi="仿宋_GB2312" w:eastAsia="仿宋_GB2312" w:cs="仿宋_GB2312"/>
          <w:b w:val="0"/>
          <w:bCs w:val="0"/>
          <w:kern w:val="2"/>
          <w:sz w:val="30"/>
          <w:szCs w:val="32"/>
          <w:lang w:val="en-US" w:eastAsia="zh-CN" w:bidi="ar-SA"/>
        </w:rPr>
      </w:pPr>
      <w:r>
        <w:rPr>
          <w:rFonts w:hint="eastAsia" w:ascii="仿宋_GB2312" w:hAnsi="仿宋_GB2312" w:eastAsia="仿宋_GB2312" w:cs="仿宋_GB2312"/>
          <w:b w:val="0"/>
          <w:bCs w:val="0"/>
          <w:kern w:val="2"/>
          <w:sz w:val="30"/>
          <w:szCs w:val="32"/>
          <w:lang w:val="en-US" w:eastAsia="zh-CN" w:bidi="ar-SA"/>
        </w:rPr>
        <w:t>（7）责任落实数据收集：主要包括人员职责清单、安全生产教育培训记录等资料。</w:t>
      </w:r>
    </w:p>
    <w:p>
      <w:pPr>
        <w:pageBreakBefore w:val="0"/>
        <w:numPr>
          <w:ilvl w:val="0"/>
          <w:numId w:val="0"/>
        </w:numPr>
        <w:kinsoku/>
        <w:wordWrap/>
        <w:overflowPunct/>
        <w:topLinePunct w:val="0"/>
        <w:autoSpaceDE/>
        <w:autoSpaceDN/>
        <w:bidi w:val="0"/>
        <w:spacing w:line="590" w:lineRule="exact"/>
        <w:ind w:left="0" w:leftChars="0" w:firstLine="600" w:firstLineChars="200"/>
        <w:jc w:val="left"/>
        <w:textAlignment w:val="auto"/>
        <w:rPr>
          <w:rFonts w:hint="eastAsia" w:ascii="仿宋_GB2312" w:hAnsi="仿宋_GB2312" w:eastAsia="仿宋_GB2312" w:cs="仿宋_GB2312"/>
          <w:b w:val="0"/>
          <w:bCs w:val="0"/>
          <w:kern w:val="2"/>
          <w:sz w:val="30"/>
          <w:szCs w:val="32"/>
          <w:lang w:val="en-US" w:eastAsia="zh-CN" w:bidi="ar-SA"/>
        </w:rPr>
      </w:pPr>
      <w:r>
        <w:rPr>
          <w:rFonts w:hint="eastAsia" w:ascii="仿宋_GB2312" w:hAnsi="仿宋_GB2312" w:eastAsia="仿宋_GB2312" w:cs="仿宋_GB2312"/>
          <w:b w:val="0"/>
          <w:bCs w:val="0"/>
          <w:kern w:val="2"/>
          <w:sz w:val="30"/>
          <w:szCs w:val="32"/>
          <w:lang w:val="en-US" w:eastAsia="zh-CN" w:bidi="ar-SA"/>
        </w:rPr>
        <w:t>2.六项机制数字信息分类整理服务</w:t>
      </w:r>
    </w:p>
    <w:p>
      <w:pPr>
        <w:pageBreakBefore w:val="0"/>
        <w:numPr>
          <w:ilvl w:val="0"/>
          <w:numId w:val="0"/>
        </w:numPr>
        <w:kinsoku/>
        <w:wordWrap/>
        <w:overflowPunct/>
        <w:topLinePunct w:val="0"/>
        <w:autoSpaceDE/>
        <w:autoSpaceDN/>
        <w:bidi w:val="0"/>
        <w:spacing w:line="590" w:lineRule="exact"/>
        <w:ind w:left="0" w:leftChars="0" w:firstLine="600" w:firstLineChars="200"/>
        <w:jc w:val="both"/>
        <w:textAlignment w:val="auto"/>
        <w:rPr>
          <w:rFonts w:hint="eastAsia" w:ascii="仿宋_GB2312" w:hAnsi="仿宋_GB2312" w:eastAsia="仿宋_GB2312" w:cs="仿宋_GB2312"/>
          <w:b w:val="0"/>
          <w:bCs w:val="0"/>
          <w:kern w:val="2"/>
          <w:sz w:val="30"/>
          <w:szCs w:val="32"/>
          <w:lang w:val="en-US" w:eastAsia="zh-CN" w:bidi="ar-SA"/>
        </w:rPr>
      </w:pPr>
      <w:r>
        <w:rPr>
          <w:rFonts w:hint="eastAsia" w:ascii="仿宋_GB2312" w:hAnsi="仿宋_GB2312" w:eastAsia="仿宋_GB2312" w:cs="仿宋_GB2312"/>
          <w:b w:val="0"/>
          <w:bCs w:val="0"/>
          <w:kern w:val="2"/>
          <w:sz w:val="30"/>
          <w:szCs w:val="32"/>
          <w:lang w:val="en-US" w:eastAsia="zh-CN" w:bidi="ar-SA"/>
        </w:rPr>
        <w:t>按照“项目、查找、研判、预警、防范、处置、责任”七大维度，对收集到的海量数据进行系统化清洗与逻辑关联分类。</w:t>
      </w:r>
    </w:p>
    <w:p>
      <w:pPr>
        <w:pageBreakBefore w:val="0"/>
        <w:numPr>
          <w:ilvl w:val="0"/>
          <w:numId w:val="0"/>
        </w:numPr>
        <w:kinsoku/>
        <w:wordWrap/>
        <w:overflowPunct/>
        <w:topLinePunct w:val="0"/>
        <w:autoSpaceDE/>
        <w:autoSpaceDN/>
        <w:bidi w:val="0"/>
        <w:spacing w:line="590" w:lineRule="exact"/>
        <w:ind w:left="0" w:leftChars="0" w:firstLine="600" w:firstLineChars="200"/>
        <w:jc w:val="left"/>
        <w:textAlignment w:val="auto"/>
        <w:rPr>
          <w:rFonts w:hint="eastAsia" w:ascii="仿宋_GB2312" w:hAnsi="仿宋_GB2312" w:eastAsia="仿宋_GB2312" w:cs="仿宋_GB2312"/>
          <w:b w:val="0"/>
          <w:bCs w:val="0"/>
          <w:kern w:val="2"/>
          <w:sz w:val="30"/>
          <w:szCs w:val="32"/>
          <w:lang w:val="en-US" w:eastAsia="zh-CN" w:bidi="ar-SA"/>
        </w:rPr>
      </w:pPr>
      <w:r>
        <w:rPr>
          <w:rFonts w:hint="eastAsia" w:ascii="仿宋_GB2312" w:hAnsi="仿宋_GB2312" w:eastAsia="仿宋_GB2312" w:cs="仿宋_GB2312"/>
          <w:b w:val="0"/>
          <w:bCs w:val="0"/>
          <w:kern w:val="2"/>
          <w:sz w:val="30"/>
          <w:szCs w:val="32"/>
          <w:lang w:val="en-US" w:eastAsia="zh-CN" w:bidi="ar-SA"/>
        </w:rPr>
        <w:t>3.六项机制数字信息电子化存储与内容提取服务</w:t>
      </w:r>
    </w:p>
    <w:p>
      <w:pPr>
        <w:pageBreakBefore w:val="0"/>
        <w:numPr>
          <w:ilvl w:val="0"/>
          <w:numId w:val="0"/>
        </w:numPr>
        <w:kinsoku/>
        <w:wordWrap/>
        <w:overflowPunct/>
        <w:topLinePunct w:val="0"/>
        <w:autoSpaceDE/>
        <w:autoSpaceDN/>
        <w:bidi w:val="0"/>
        <w:spacing w:line="590" w:lineRule="exact"/>
        <w:ind w:left="0" w:leftChars="0" w:firstLine="600" w:firstLineChars="200"/>
        <w:jc w:val="both"/>
        <w:textAlignment w:val="auto"/>
        <w:rPr>
          <w:rFonts w:hint="eastAsia" w:ascii="仿宋_GB2312" w:hAnsi="仿宋_GB2312" w:eastAsia="仿宋_GB2312" w:cs="仿宋_GB2312"/>
          <w:b w:val="0"/>
          <w:bCs w:val="0"/>
          <w:kern w:val="2"/>
          <w:sz w:val="30"/>
          <w:szCs w:val="32"/>
          <w:lang w:val="en-US" w:eastAsia="zh-CN" w:bidi="ar-SA"/>
        </w:rPr>
      </w:pPr>
      <w:r>
        <w:rPr>
          <w:rFonts w:hint="eastAsia" w:ascii="仿宋_GB2312" w:hAnsi="仿宋_GB2312" w:eastAsia="仿宋_GB2312" w:cs="仿宋_GB2312"/>
          <w:b w:val="0"/>
          <w:bCs w:val="0"/>
          <w:kern w:val="2"/>
          <w:sz w:val="30"/>
          <w:szCs w:val="32"/>
          <w:lang w:val="en-US" w:eastAsia="zh-CN" w:bidi="ar-SA"/>
        </w:rPr>
        <w:t>将整理后的数据进行电子化存储与深度内容提取，形成可检索、可复用的文本数据。</w:t>
      </w:r>
    </w:p>
    <w:p>
      <w:pPr>
        <w:pageBreakBefore w:val="0"/>
        <w:numPr>
          <w:ilvl w:val="0"/>
          <w:numId w:val="0"/>
        </w:numPr>
        <w:kinsoku/>
        <w:wordWrap/>
        <w:overflowPunct/>
        <w:topLinePunct w:val="0"/>
        <w:autoSpaceDE/>
        <w:autoSpaceDN/>
        <w:bidi w:val="0"/>
        <w:spacing w:line="590" w:lineRule="exact"/>
        <w:ind w:left="0" w:leftChars="0" w:firstLine="600" w:firstLineChars="200"/>
        <w:jc w:val="both"/>
        <w:textAlignment w:val="auto"/>
        <w:rPr>
          <w:rFonts w:hint="eastAsia" w:ascii="仿宋_GB2312" w:hAnsi="仿宋_GB2312" w:eastAsia="仿宋_GB2312" w:cs="仿宋_GB2312"/>
          <w:b w:val="0"/>
          <w:bCs w:val="0"/>
          <w:kern w:val="2"/>
          <w:sz w:val="30"/>
          <w:szCs w:val="32"/>
          <w:lang w:val="en-US" w:eastAsia="zh-CN" w:bidi="ar-SA"/>
        </w:rPr>
      </w:pPr>
      <w:r>
        <w:rPr>
          <w:rFonts w:hint="eastAsia" w:ascii="仿宋_GB2312" w:hAnsi="仿宋_GB2312" w:eastAsia="仿宋_GB2312" w:cs="仿宋_GB2312"/>
          <w:b w:val="0"/>
          <w:bCs w:val="0"/>
          <w:kern w:val="2"/>
          <w:sz w:val="30"/>
          <w:szCs w:val="32"/>
          <w:lang w:val="en-US" w:eastAsia="zh-CN" w:bidi="ar-SA"/>
        </w:rPr>
        <w:t>（1）结构化文本提取：对安全责任书、隐患台账、排查记录等纸质文件及扫描件，进行高清文字识别、内容校对、格式规整，转化为可编辑、可检索的文本数据。</w:t>
      </w:r>
    </w:p>
    <w:p>
      <w:pPr>
        <w:pageBreakBefore w:val="0"/>
        <w:numPr>
          <w:ilvl w:val="0"/>
          <w:numId w:val="0"/>
        </w:numPr>
        <w:kinsoku/>
        <w:wordWrap/>
        <w:overflowPunct/>
        <w:topLinePunct w:val="0"/>
        <w:autoSpaceDE/>
        <w:autoSpaceDN/>
        <w:bidi w:val="0"/>
        <w:spacing w:line="590" w:lineRule="exact"/>
        <w:ind w:left="0" w:leftChars="0" w:firstLine="600" w:firstLineChars="200"/>
        <w:jc w:val="both"/>
        <w:textAlignment w:val="auto"/>
        <w:rPr>
          <w:rFonts w:hint="eastAsia" w:ascii="仿宋_GB2312" w:hAnsi="仿宋_GB2312" w:eastAsia="仿宋_GB2312" w:cs="仿宋_GB2312"/>
          <w:b w:val="0"/>
          <w:bCs w:val="0"/>
          <w:kern w:val="2"/>
          <w:sz w:val="30"/>
          <w:szCs w:val="32"/>
          <w:lang w:val="en-US" w:eastAsia="zh-CN" w:bidi="ar-SA"/>
        </w:rPr>
      </w:pPr>
      <w:r>
        <w:rPr>
          <w:rFonts w:hint="eastAsia" w:ascii="仿宋_GB2312" w:hAnsi="仿宋_GB2312" w:eastAsia="仿宋_GB2312" w:cs="仿宋_GB2312"/>
          <w:b w:val="0"/>
          <w:bCs w:val="0"/>
          <w:kern w:val="2"/>
          <w:sz w:val="30"/>
          <w:szCs w:val="32"/>
          <w:lang w:val="en-US" w:eastAsia="zh-CN" w:bidi="ar-SA"/>
        </w:rPr>
        <w:t>（2）数据格式标准化：采用统一的格式对提取数据进行分类存储，确保从项目底数到责任落实各环节数据的规范性和一致性，便于后续进行评分和分析。</w:t>
      </w:r>
    </w:p>
    <w:p>
      <w:pPr>
        <w:pageBreakBefore w:val="0"/>
        <w:numPr>
          <w:ilvl w:val="0"/>
          <w:numId w:val="0"/>
        </w:numPr>
        <w:kinsoku/>
        <w:wordWrap/>
        <w:overflowPunct/>
        <w:topLinePunct w:val="0"/>
        <w:autoSpaceDE/>
        <w:autoSpaceDN/>
        <w:bidi w:val="0"/>
        <w:spacing w:line="590" w:lineRule="exact"/>
        <w:ind w:left="0" w:leftChars="0" w:firstLine="600" w:firstLineChars="200"/>
        <w:jc w:val="both"/>
        <w:textAlignment w:val="auto"/>
        <w:rPr>
          <w:rFonts w:hint="eastAsia" w:ascii="仿宋_GB2312" w:hAnsi="仿宋_GB2312" w:eastAsia="仿宋_GB2312" w:cs="仿宋_GB2312"/>
          <w:b w:val="0"/>
          <w:bCs w:val="0"/>
          <w:kern w:val="2"/>
          <w:sz w:val="30"/>
          <w:szCs w:val="32"/>
          <w:lang w:val="en-US" w:eastAsia="zh-CN" w:bidi="ar-SA"/>
        </w:rPr>
      </w:pPr>
      <w:r>
        <w:rPr>
          <w:rFonts w:hint="eastAsia" w:ascii="仿宋_GB2312" w:hAnsi="仿宋_GB2312" w:eastAsia="仿宋_GB2312" w:cs="仿宋_GB2312"/>
          <w:b w:val="0"/>
          <w:bCs w:val="0"/>
          <w:kern w:val="2"/>
          <w:sz w:val="30"/>
          <w:szCs w:val="32"/>
          <w:lang w:val="en-US" w:eastAsia="zh-CN" w:bidi="ar-SA"/>
        </w:rPr>
        <w:t>（3）成果提交：将整理后的数据存储在光盘并提交。</w:t>
      </w:r>
    </w:p>
    <w:p>
      <w:pPr>
        <w:pStyle w:val="3"/>
        <w:pageBreakBefore w:val="0"/>
        <w:numPr>
          <w:ilvl w:val="1"/>
          <w:numId w:val="0"/>
        </w:numPr>
        <w:kinsoku/>
        <w:wordWrap/>
        <w:overflowPunct/>
        <w:topLinePunct w:val="0"/>
        <w:autoSpaceDE/>
        <w:autoSpaceDN/>
        <w:bidi w:val="0"/>
        <w:spacing w:before="0" w:after="0" w:line="590" w:lineRule="exact"/>
        <w:ind w:left="0" w:leftChars="0" w:firstLine="602" w:firstLineChars="200"/>
        <w:textAlignment w:val="auto"/>
        <w:rPr>
          <w:rFonts w:hint="eastAsia" w:ascii="仿宋_GB2312" w:hAnsi="仿宋_GB2312" w:eastAsia="仿宋_GB2312" w:cs="仿宋_GB2312"/>
          <w:b/>
          <w:bCs/>
          <w:kern w:val="2"/>
          <w:sz w:val="30"/>
          <w:szCs w:val="32"/>
          <w:lang w:val="en-US" w:eastAsia="zh-CN" w:bidi="ar-SA"/>
        </w:rPr>
      </w:pPr>
      <w:r>
        <w:rPr>
          <w:rFonts w:hint="eastAsia" w:ascii="仿宋_GB2312" w:hAnsi="仿宋_GB2312" w:eastAsia="仿宋_GB2312" w:cs="仿宋_GB2312"/>
          <w:b/>
          <w:bCs/>
          <w:kern w:val="2"/>
          <w:sz w:val="30"/>
          <w:szCs w:val="32"/>
          <w:lang w:val="en-US" w:eastAsia="zh-CN" w:bidi="ar-SA"/>
        </w:rPr>
        <w:t>（二）安责险数字信息档案建设</w:t>
      </w:r>
    </w:p>
    <w:p>
      <w:pPr>
        <w:pageBreakBefore w:val="0"/>
        <w:numPr>
          <w:ilvl w:val="0"/>
          <w:numId w:val="0"/>
        </w:numPr>
        <w:kinsoku/>
        <w:wordWrap/>
        <w:overflowPunct/>
        <w:topLinePunct w:val="0"/>
        <w:autoSpaceDE/>
        <w:autoSpaceDN/>
        <w:bidi w:val="0"/>
        <w:spacing w:line="590" w:lineRule="exact"/>
        <w:ind w:left="0" w:leftChars="0" w:firstLine="600" w:firstLineChars="200"/>
        <w:jc w:val="both"/>
        <w:textAlignment w:val="auto"/>
        <w:rPr>
          <w:rFonts w:hint="eastAsia" w:ascii="仿宋_GB2312" w:hAnsi="仿宋_GB2312" w:eastAsia="仿宋_GB2312" w:cs="仿宋_GB2312"/>
          <w:b w:val="0"/>
          <w:bCs w:val="0"/>
          <w:kern w:val="2"/>
          <w:sz w:val="30"/>
          <w:szCs w:val="32"/>
          <w:lang w:val="en-US" w:eastAsia="zh-CN" w:bidi="ar-SA"/>
        </w:rPr>
      </w:pPr>
      <w:r>
        <w:rPr>
          <w:rFonts w:hint="eastAsia" w:ascii="仿宋_GB2312" w:hAnsi="仿宋_GB2312" w:eastAsia="仿宋_GB2312" w:cs="仿宋_GB2312"/>
          <w:b w:val="0"/>
          <w:bCs w:val="0"/>
          <w:kern w:val="2"/>
          <w:sz w:val="30"/>
          <w:szCs w:val="32"/>
          <w:lang w:val="en-US" w:eastAsia="zh-CN" w:bidi="ar-SA"/>
        </w:rPr>
        <w:t>依据水利工程安全生产责任保险事故预防服务相关标准，围绕投保项目业主、保险机构、事故预防服务机构三方主体职责，全覆盖收集安责险投保、事故预防、隐患治理、应急管理、服务管控全流程数据，建立安责险数字档案体系。</w:t>
      </w:r>
    </w:p>
    <w:p>
      <w:pPr>
        <w:pageBreakBefore w:val="0"/>
        <w:numPr>
          <w:ilvl w:val="0"/>
          <w:numId w:val="0"/>
        </w:numPr>
        <w:kinsoku/>
        <w:wordWrap/>
        <w:overflowPunct/>
        <w:topLinePunct w:val="0"/>
        <w:autoSpaceDE/>
        <w:autoSpaceDN/>
        <w:bidi w:val="0"/>
        <w:spacing w:line="590" w:lineRule="exact"/>
        <w:ind w:left="0" w:leftChars="0" w:firstLine="600" w:firstLineChars="200"/>
        <w:jc w:val="left"/>
        <w:textAlignment w:val="auto"/>
        <w:rPr>
          <w:rFonts w:hint="eastAsia" w:ascii="仿宋_GB2312" w:hAnsi="仿宋_GB2312" w:eastAsia="仿宋_GB2312" w:cs="仿宋_GB2312"/>
          <w:b w:val="0"/>
          <w:bCs w:val="0"/>
          <w:kern w:val="2"/>
          <w:sz w:val="30"/>
          <w:szCs w:val="32"/>
          <w:lang w:val="en-US" w:eastAsia="zh-CN" w:bidi="ar-SA"/>
        </w:rPr>
      </w:pPr>
      <w:r>
        <w:rPr>
          <w:rFonts w:hint="eastAsia" w:ascii="仿宋_GB2312" w:hAnsi="仿宋_GB2312" w:eastAsia="仿宋_GB2312" w:cs="仿宋_GB2312"/>
          <w:b w:val="0"/>
          <w:bCs w:val="0"/>
          <w:kern w:val="2"/>
          <w:sz w:val="30"/>
          <w:szCs w:val="32"/>
          <w:lang w:val="en-US" w:eastAsia="zh-CN" w:bidi="ar-SA"/>
        </w:rPr>
        <w:t>1、安责险事故预防服务全要素数字信息收集服务</w:t>
      </w:r>
    </w:p>
    <w:p>
      <w:pPr>
        <w:pageBreakBefore w:val="0"/>
        <w:numPr>
          <w:ilvl w:val="0"/>
          <w:numId w:val="0"/>
        </w:numPr>
        <w:kinsoku/>
        <w:wordWrap/>
        <w:overflowPunct/>
        <w:topLinePunct w:val="0"/>
        <w:autoSpaceDE/>
        <w:autoSpaceDN/>
        <w:bidi w:val="0"/>
        <w:spacing w:line="590" w:lineRule="exact"/>
        <w:ind w:left="0" w:leftChars="0" w:firstLine="600" w:firstLineChars="200"/>
        <w:jc w:val="both"/>
        <w:textAlignment w:val="auto"/>
        <w:rPr>
          <w:rFonts w:hint="eastAsia" w:ascii="仿宋_GB2312" w:hAnsi="仿宋_GB2312" w:eastAsia="仿宋_GB2312" w:cs="仿宋_GB2312"/>
          <w:b w:val="0"/>
          <w:bCs w:val="0"/>
          <w:kern w:val="2"/>
          <w:sz w:val="30"/>
          <w:szCs w:val="32"/>
          <w:lang w:val="en-US" w:eastAsia="zh-CN" w:bidi="ar-SA"/>
        </w:rPr>
      </w:pPr>
      <w:r>
        <w:rPr>
          <w:rFonts w:hint="eastAsia" w:ascii="仿宋_GB2312" w:hAnsi="仿宋_GB2312" w:eastAsia="仿宋_GB2312" w:cs="仿宋_GB2312"/>
          <w:b w:val="0"/>
          <w:bCs w:val="0"/>
          <w:kern w:val="2"/>
          <w:sz w:val="30"/>
          <w:szCs w:val="32"/>
          <w:lang w:val="en-US" w:eastAsia="zh-CN" w:bidi="ar-SA"/>
        </w:rPr>
        <w:t>围绕工程项目（投保主体）、保险机构（委托与管理）、事故预防服务单位（实施主体）三方职责，全面收集服务过程中的关键环节数据，建立全流程的安责险数字信息档案。</w:t>
      </w:r>
    </w:p>
    <w:p>
      <w:pPr>
        <w:pageBreakBefore w:val="0"/>
        <w:numPr>
          <w:ilvl w:val="0"/>
          <w:numId w:val="0"/>
        </w:numPr>
        <w:kinsoku/>
        <w:wordWrap/>
        <w:overflowPunct/>
        <w:topLinePunct w:val="0"/>
        <w:autoSpaceDE/>
        <w:autoSpaceDN/>
        <w:bidi w:val="0"/>
        <w:spacing w:line="590" w:lineRule="exact"/>
        <w:ind w:left="0" w:leftChars="0" w:firstLine="600" w:firstLineChars="200"/>
        <w:jc w:val="both"/>
        <w:textAlignment w:val="auto"/>
        <w:rPr>
          <w:rFonts w:hint="eastAsia" w:ascii="仿宋_GB2312" w:hAnsi="仿宋_GB2312" w:eastAsia="仿宋_GB2312" w:cs="仿宋_GB2312"/>
          <w:b w:val="0"/>
          <w:bCs w:val="0"/>
          <w:kern w:val="2"/>
          <w:sz w:val="30"/>
          <w:szCs w:val="32"/>
          <w:lang w:val="en-US" w:eastAsia="zh-CN" w:bidi="ar-SA"/>
        </w:rPr>
      </w:pPr>
      <w:r>
        <w:rPr>
          <w:rFonts w:hint="eastAsia" w:ascii="仿宋_GB2312" w:hAnsi="仿宋_GB2312" w:eastAsia="仿宋_GB2312" w:cs="仿宋_GB2312"/>
          <w:b w:val="0"/>
          <w:bCs w:val="0"/>
          <w:kern w:val="2"/>
          <w:sz w:val="30"/>
          <w:szCs w:val="32"/>
          <w:lang w:val="en-US" w:eastAsia="zh-CN" w:bidi="ar-SA"/>
        </w:rPr>
        <w:t>收集内容包括但不限于：</w:t>
      </w:r>
    </w:p>
    <w:p>
      <w:pPr>
        <w:pageBreakBefore w:val="0"/>
        <w:numPr>
          <w:ilvl w:val="0"/>
          <w:numId w:val="0"/>
        </w:numPr>
        <w:kinsoku/>
        <w:wordWrap/>
        <w:overflowPunct/>
        <w:topLinePunct w:val="0"/>
        <w:autoSpaceDE/>
        <w:autoSpaceDN/>
        <w:bidi w:val="0"/>
        <w:spacing w:line="590" w:lineRule="exact"/>
        <w:ind w:left="0" w:leftChars="0" w:firstLine="600" w:firstLineChars="200"/>
        <w:jc w:val="both"/>
        <w:textAlignment w:val="auto"/>
        <w:rPr>
          <w:rFonts w:hint="eastAsia" w:ascii="仿宋_GB2312" w:hAnsi="仿宋_GB2312" w:eastAsia="仿宋_GB2312" w:cs="仿宋_GB2312"/>
          <w:b w:val="0"/>
          <w:bCs w:val="0"/>
          <w:kern w:val="2"/>
          <w:sz w:val="30"/>
          <w:szCs w:val="32"/>
          <w:lang w:val="en-US" w:eastAsia="zh-CN" w:bidi="ar-SA"/>
        </w:rPr>
      </w:pPr>
      <w:r>
        <w:rPr>
          <w:rFonts w:hint="eastAsia" w:ascii="仿宋_GB2312" w:hAnsi="仿宋_GB2312" w:eastAsia="仿宋_GB2312" w:cs="仿宋_GB2312"/>
          <w:b w:val="0"/>
          <w:bCs w:val="0"/>
          <w:kern w:val="2"/>
          <w:sz w:val="30"/>
          <w:szCs w:val="32"/>
          <w:lang w:val="en-US" w:eastAsia="zh-CN" w:bidi="ar-SA"/>
        </w:rPr>
        <w:t>（1）教育培训与制度建设情况数据收集：主要包括由事故预防服务单位编制的安全生产宣传教育培训计划、培训通知、现场培训照片及签到表，工程项目建立的教育培训记录档案以及三方涉及的安全生产责任制、服务流程等管理制度文件。</w:t>
      </w:r>
    </w:p>
    <w:p>
      <w:pPr>
        <w:pageBreakBefore w:val="0"/>
        <w:numPr>
          <w:ilvl w:val="0"/>
          <w:numId w:val="0"/>
        </w:numPr>
        <w:kinsoku/>
        <w:wordWrap/>
        <w:overflowPunct/>
        <w:topLinePunct w:val="0"/>
        <w:autoSpaceDE/>
        <w:autoSpaceDN/>
        <w:bidi w:val="0"/>
        <w:spacing w:line="590" w:lineRule="exact"/>
        <w:ind w:left="0" w:leftChars="0" w:firstLine="600" w:firstLineChars="200"/>
        <w:jc w:val="both"/>
        <w:textAlignment w:val="auto"/>
        <w:rPr>
          <w:rFonts w:hint="eastAsia" w:ascii="仿宋_GB2312" w:hAnsi="仿宋_GB2312" w:eastAsia="仿宋_GB2312" w:cs="仿宋_GB2312"/>
          <w:b w:val="0"/>
          <w:bCs w:val="0"/>
          <w:kern w:val="2"/>
          <w:sz w:val="30"/>
          <w:szCs w:val="32"/>
          <w:lang w:val="en-US" w:eastAsia="zh-CN" w:bidi="ar-SA"/>
        </w:rPr>
      </w:pPr>
      <w:r>
        <w:rPr>
          <w:rFonts w:hint="eastAsia" w:ascii="仿宋_GB2312" w:hAnsi="仿宋_GB2312" w:eastAsia="仿宋_GB2312" w:cs="仿宋_GB2312"/>
          <w:b w:val="0"/>
          <w:bCs w:val="0"/>
          <w:kern w:val="2"/>
          <w:sz w:val="30"/>
          <w:szCs w:val="32"/>
          <w:lang w:val="en-US" w:eastAsia="zh-CN" w:bidi="ar-SA"/>
        </w:rPr>
        <w:t>（2）危险源辨识与评价情况数据收集：主要包括事故预防服务单位协助工程项目辨识形成的危险源信息清单、对照《生产过程危险和有害因素分类与代码》（GB/T13861）的辨识清单以及服务单位针对特种设备定检报告的核查建议书等文件。</w:t>
      </w:r>
    </w:p>
    <w:p>
      <w:pPr>
        <w:pageBreakBefore w:val="0"/>
        <w:numPr>
          <w:ilvl w:val="0"/>
          <w:numId w:val="0"/>
        </w:numPr>
        <w:kinsoku/>
        <w:wordWrap/>
        <w:overflowPunct/>
        <w:topLinePunct w:val="0"/>
        <w:autoSpaceDE/>
        <w:autoSpaceDN/>
        <w:bidi w:val="0"/>
        <w:spacing w:line="590" w:lineRule="exact"/>
        <w:ind w:left="0" w:leftChars="0" w:firstLine="600" w:firstLineChars="200"/>
        <w:jc w:val="both"/>
        <w:textAlignment w:val="auto"/>
        <w:rPr>
          <w:rFonts w:hint="eastAsia" w:ascii="仿宋_GB2312" w:hAnsi="仿宋_GB2312" w:eastAsia="仿宋_GB2312" w:cs="仿宋_GB2312"/>
          <w:b w:val="0"/>
          <w:bCs w:val="0"/>
          <w:kern w:val="2"/>
          <w:sz w:val="30"/>
          <w:szCs w:val="32"/>
          <w:lang w:val="en-US" w:eastAsia="zh-CN" w:bidi="ar-SA"/>
        </w:rPr>
      </w:pPr>
      <w:r>
        <w:rPr>
          <w:rFonts w:hint="eastAsia" w:ascii="仿宋_GB2312" w:hAnsi="仿宋_GB2312" w:eastAsia="仿宋_GB2312" w:cs="仿宋_GB2312"/>
          <w:b w:val="0"/>
          <w:bCs w:val="0"/>
          <w:kern w:val="2"/>
          <w:sz w:val="30"/>
          <w:szCs w:val="32"/>
          <w:lang w:val="en-US" w:eastAsia="zh-CN" w:bidi="ar-SA"/>
        </w:rPr>
        <w:t>（3）隐患排查治理情况数据收集：主要包括事故预防服务单位填写的《施工现场隐患排查表》、发出的《事故隐患整改通知书》，工程项目的隐患整改反馈资料及现场服务照片。</w:t>
      </w:r>
    </w:p>
    <w:p>
      <w:pPr>
        <w:pageBreakBefore w:val="0"/>
        <w:numPr>
          <w:ilvl w:val="0"/>
          <w:numId w:val="0"/>
        </w:numPr>
        <w:kinsoku/>
        <w:wordWrap/>
        <w:overflowPunct/>
        <w:topLinePunct w:val="0"/>
        <w:autoSpaceDE/>
        <w:autoSpaceDN/>
        <w:bidi w:val="0"/>
        <w:spacing w:line="590" w:lineRule="exact"/>
        <w:ind w:left="0" w:leftChars="0" w:firstLine="600" w:firstLineChars="200"/>
        <w:jc w:val="both"/>
        <w:textAlignment w:val="auto"/>
        <w:rPr>
          <w:rFonts w:hint="eastAsia" w:ascii="仿宋_GB2312" w:hAnsi="仿宋_GB2312" w:eastAsia="仿宋_GB2312" w:cs="仿宋_GB2312"/>
          <w:b w:val="0"/>
          <w:bCs w:val="0"/>
          <w:kern w:val="2"/>
          <w:sz w:val="30"/>
          <w:szCs w:val="32"/>
          <w:lang w:val="en-US" w:eastAsia="zh-CN" w:bidi="ar-SA"/>
        </w:rPr>
      </w:pPr>
      <w:r>
        <w:rPr>
          <w:rFonts w:hint="eastAsia" w:ascii="仿宋_GB2312" w:hAnsi="仿宋_GB2312" w:eastAsia="仿宋_GB2312" w:cs="仿宋_GB2312"/>
          <w:b w:val="0"/>
          <w:bCs w:val="0"/>
          <w:kern w:val="2"/>
          <w:sz w:val="30"/>
          <w:szCs w:val="32"/>
          <w:lang w:val="en-US" w:eastAsia="zh-CN" w:bidi="ar-SA"/>
        </w:rPr>
        <w:t>（4）应急预案与演练情况数据收集：主要包括事故预防服务单位协助工程项目编制或修订的生产安全事故应急预案，演练过程资料（含现场照片、评估报告）以及根据演练效果进行的预案修改完善建议书。</w:t>
      </w:r>
    </w:p>
    <w:p>
      <w:pPr>
        <w:pageBreakBefore w:val="0"/>
        <w:numPr>
          <w:ilvl w:val="0"/>
          <w:numId w:val="0"/>
        </w:numPr>
        <w:kinsoku/>
        <w:wordWrap/>
        <w:overflowPunct/>
        <w:topLinePunct w:val="0"/>
        <w:autoSpaceDE/>
        <w:autoSpaceDN/>
        <w:bidi w:val="0"/>
        <w:spacing w:line="590" w:lineRule="exact"/>
        <w:ind w:left="0" w:leftChars="0" w:firstLine="600" w:firstLineChars="200"/>
        <w:jc w:val="both"/>
        <w:textAlignment w:val="auto"/>
        <w:rPr>
          <w:rFonts w:hint="eastAsia" w:ascii="仿宋_GB2312" w:hAnsi="仿宋_GB2312" w:eastAsia="仿宋_GB2312" w:cs="仿宋_GB2312"/>
          <w:b w:val="0"/>
          <w:bCs w:val="0"/>
          <w:kern w:val="2"/>
          <w:sz w:val="30"/>
          <w:szCs w:val="32"/>
          <w:lang w:val="en-US" w:eastAsia="zh-CN" w:bidi="ar-SA"/>
        </w:rPr>
      </w:pPr>
      <w:r>
        <w:rPr>
          <w:rFonts w:hint="eastAsia" w:ascii="仿宋_GB2312" w:hAnsi="仿宋_GB2312" w:eastAsia="仿宋_GB2312" w:cs="仿宋_GB2312"/>
          <w:b w:val="0"/>
          <w:bCs w:val="0"/>
          <w:kern w:val="2"/>
          <w:sz w:val="30"/>
          <w:szCs w:val="32"/>
          <w:lang w:val="en-US" w:eastAsia="zh-CN" w:bidi="ar-SA"/>
        </w:rPr>
        <w:t>（5）标准化建设与科技推广情况数据收集：主要包括事故预防服务单位为工程项目提供的安全生产标准化建设咨询支持资料（对照SL/T789）、安全生产科技推广应用资料以及行业内正向激励（如经验推广）的相关证明材料。</w:t>
      </w:r>
    </w:p>
    <w:p>
      <w:pPr>
        <w:pageBreakBefore w:val="0"/>
        <w:numPr>
          <w:ilvl w:val="0"/>
          <w:numId w:val="0"/>
        </w:numPr>
        <w:kinsoku/>
        <w:wordWrap/>
        <w:overflowPunct/>
        <w:topLinePunct w:val="0"/>
        <w:autoSpaceDE/>
        <w:autoSpaceDN/>
        <w:bidi w:val="0"/>
        <w:spacing w:line="590" w:lineRule="exact"/>
        <w:ind w:left="0" w:leftChars="0" w:firstLine="600" w:firstLineChars="200"/>
        <w:jc w:val="both"/>
        <w:textAlignment w:val="auto"/>
        <w:rPr>
          <w:rFonts w:hint="eastAsia" w:ascii="仿宋_GB2312" w:hAnsi="仿宋_GB2312" w:eastAsia="仿宋_GB2312" w:cs="仿宋_GB2312"/>
          <w:b w:val="0"/>
          <w:bCs w:val="0"/>
          <w:kern w:val="2"/>
          <w:sz w:val="30"/>
          <w:szCs w:val="32"/>
          <w:lang w:val="en-US" w:eastAsia="zh-CN" w:bidi="ar-SA"/>
        </w:rPr>
      </w:pPr>
      <w:r>
        <w:rPr>
          <w:rFonts w:hint="eastAsia" w:ascii="仿宋_GB2312" w:hAnsi="仿宋_GB2312" w:eastAsia="仿宋_GB2312" w:cs="仿宋_GB2312"/>
          <w:b w:val="0"/>
          <w:bCs w:val="0"/>
          <w:kern w:val="2"/>
          <w:sz w:val="30"/>
          <w:szCs w:val="32"/>
          <w:lang w:val="en-US" w:eastAsia="zh-CN" w:bidi="ar-SA"/>
        </w:rPr>
        <w:t>（6）服务支撑与管理情况数据收集：主要包括保险机构与事故预防服务单位签订的委托服务合同、服务单位制定的《事故预防技术服务工作方案》、服务费用台账、投诉处理台账、以及服务周期结束后的《事故预防技术服务总结报告》。</w:t>
      </w:r>
    </w:p>
    <w:p>
      <w:pPr>
        <w:pageBreakBefore w:val="0"/>
        <w:numPr>
          <w:ilvl w:val="0"/>
          <w:numId w:val="0"/>
        </w:numPr>
        <w:kinsoku/>
        <w:wordWrap/>
        <w:overflowPunct/>
        <w:topLinePunct w:val="0"/>
        <w:autoSpaceDE/>
        <w:autoSpaceDN/>
        <w:bidi w:val="0"/>
        <w:spacing w:line="590" w:lineRule="exact"/>
        <w:ind w:left="0" w:leftChars="0" w:firstLine="600" w:firstLineChars="200"/>
        <w:jc w:val="left"/>
        <w:textAlignment w:val="auto"/>
        <w:rPr>
          <w:rFonts w:hint="eastAsia" w:ascii="仿宋_GB2312" w:hAnsi="仿宋_GB2312" w:eastAsia="仿宋_GB2312" w:cs="仿宋_GB2312"/>
          <w:b w:val="0"/>
          <w:bCs w:val="0"/>
          <w:kern w:val="2"/>
          <w:sz w:val="30"/>
          <w:szCs w:val="32"/>
          <w:lang w:val="en-US" w:eastAsia="zh-CN" w:bidi="ar-SA"/>
        </w:rPr>
      </w:pPr>
      <w:r>
        <w:rPr>
          <w:rFonts w:hint="eastAsia" w:ascii="仿宋_GB2312" w:hAnsi="仿宋_GB2312" w:eastAsia="仿宋_GB2312" w:cs="仿宋_GB2312"/>
          <w:b w:val="0"/>
          <w:bCs w:val="0"/>
          <w:kern w:val="2"/>
          <w:sz w:val="30"/>
          <w:szCs w:val="32"/>
          <w:lang w:val="en-US" w:eastAsia="zh-CN" w:bidi="ar-SA"/>
        </w:rPr>
        <w:t>2、安责险事故预防服务数字信息分类整理服务</w:t>
      </w:r>
    </w:p>
    <w:p>
      <w:pPr>
        <w:pageBreakBefore w:val="0"/>
        <w:numPr>
          <w:ilvl w:val="0"/>
          <w:numId w:val="0"/>
        </w:numPr>
        <w:kinsoku/>
        <w:wordWrap/>
        <w:overflowPunct/>
        <w:topLinePunct w:val="0"/>
        <w:autoSpaceDE/>
        <w:autoSpaceDN/>
        <w:bidi w:val="0"/>
        <w:spacing w:line="590" w:lineRule="exact"/>
        <w:ind w:left="0" w:leftChars="0" w:firstLine="600" w:firstLineChars="200"/>
        <w:jc w:val="both"/>
        <w:textAlignment w:val="auto"/>
        <w:rPr>
          <w:rFonts w:hint="eastAsia" w:ascii="仿宋_GB2312" w:hAnsi="仿宋_GB2312" w:eastAsia="仿宋_GB2312" w:cs="仿宋_GB2312"/>
          <w:b w:val="0"/>
          <w:bCs w:val="0"/>
          <w:kern w:val="2"/>
          <w:sz w:val="30"/>
          <w:szCs w:val="32"/>
          <w:lang w:val="en-US" w:eastAsia="zh-CN" w:bidi="ar-SA"/>
        </w:rPr>
      </w:pPr>
      <w:r>
        <w:rPr>
          <w:rFonts w:hint="eastAsia" w:ascii="仿宋_GB2312" w:hAnsi="仿宋_GB2312" w:eastAsia="仿宋_GB2312" w:cs="仿宋_GB2312"/>
          <w:b w:val="0"/>
          <w:bCs w:val="0"/>
          <w:kern w:val="2"/>
          <w:sz w:val="30"/>
          <w:szCs w:val="32"/>
          <w:lang w:val="en-US" w:eastAsia="zh-CN" w:bidi="ar-SA"/>
        </w:rPr>
        <w:t>以教育培训、风险辨识、隐患排查、应急演练、标准化建设及服务管理六大板块为核心，对收集到的海量服务数据进行系统化清洗与逻辑关联分类，构建安责险服务标准化数据底座。</w:t>
      </w:r>
    </w:p>
    <w:p>
      <w:pPr>
        <w:pageBreakBefore w:val="0"/>
        <w:numPr>
          <w:ilvl w:val="0"/>
          <w:numId w:val="0"/>
        </w:numPr>
        <w:kinsoku/>
        <w:wordWrap/>
        <w:overflowPunct/>
        <w:topLinePunct w:val="0"/>
        <w:autoSpaceDE/>
        <w:autoSpaceDN/>
        <w:bidi w:val="0"/>
        <w:spacing w:line="590" w:lineRule="exact"/>
        <w:ind w:left="0" w:leftChars="0" w:firstLine="600" w:firstLineChars="200"/>
        <w:jc w:val="left"/>
        <w:textAlignment w:val="auto"/>
        <w:rPr>
          <w:rFonts w:hint="eastAsia" w:ascii="仿宋_GB2312" w:hAnsi="仿宋_GB2312" w:eastAsia="仿宋_GB2312" w:cs="仿宋_GB2312"/>
          <w:b w:val="0"/>
          <w:bCs w:val="0"/>
          <w:kern w:val="2"/>
          <w:sz w:val="30"/>
          <w:szCs w:val="32"/>
          <w:lang w:val="en-US" w:eastAsia="zh-CN" w:bidi="ar-SA"/>
        </w:rPr>
      </w:pPr>
      <w:r>
        <w:rPr>
          <w:rFonts w:hint="eastAsia" w:ascii="仿宋_GB2312" w:hAnsi="仿宋_GB2312" w:eastAsia="仿宋_GB2312" w:cs="仿宋_GB2312"/>
          <w:b w:val="0"/>
          <w:bCs w:val="0"/>
          <w:kern w:val="2"/>
          <w:sz w:val="30"/>
          <w:szCs w:val="32"/>
          <w:lang w:val="en-US" w:eastAsia="zh-CN" w:bidi="ar-SA"/>
        </w:rPr>
        <w:t>3、安责险数字信息电子化存储与内容提取服务</w:t>
      </w:r>
    </w:p>
    <w:p>
      <w:pPr>
        <w:pageBreakBefore w:val="0"/>
        <w:numPr>
          <w:ilvl w:val="0"/>
          <w:numId w:val="0"/>
        </w:numPr>
        <w:kinsoku/>
        <w:wordWrap/>
        <w:overflowPunct/>
        <w:topLinePunct w:val="0"/>
        <w:autoSpaceDE/>
        <w:autoSpaceDN/>
        <w:bidi w:val="0"/>
        <w:spacing w:line="590" w:lineRule="exact"/>
        <w:ind w:left="0" w:leftChars="0" w:firstLine="600" w:firstLineChars="200"/>
        <w:jc w:val="both"/>
        <w:textAlignment w:val="auto"/>
        <w:rPr>
          <w:rFonts w:hint="eastAsia" w:ascii="仿宋_GB2312" w:hAnsi="仿宋_GB2312" w:eastAsia="仿宋_GB2312" w:cs="仿宋_GB2312"/>
          <w:b w:val="0"/>
          <w:bCs w:val="0"/>
          <w:kern w:val="2"/>
          <w:sz w:val="30"/>
          <w:szCs w:val="32"/>
          <w:lang w:val="en-US" w:eastAsia="zh-CN" w:bidi="ar-SA"/>
        </w:rPr>
      </w:pPr>
      <w:r>
        <w:rPr>
          <w:rFonts w:hint="eastAsia" w:ascii="仿宋_GB2312" w:hAnsi="仿宋_GB2312" w:eastAsia="仿宋_GB2312" w:cs="仿宋_GB2312"/>
          <w:b w:val="0"/>
          <w:bCs w:val="0"/>
          <w:kern w:val="2"/>
          <w:sz w:val="30"/>
          <w:szCs w:val="32"/>
          <w:lang w:val="en-US" w:eastAsia="zh-CN" w:bidi="ar-SA"/>
        </w:rPr>
        <w:t>将整理后的数据进行电子化存储与深度内容提取，形成可检索、可复用的文本数据。</w:t>
      </w:r>
    </w:p>
    <w:p>
      <w:pPr>
        <w:pageBreakBefore w:val="0"/>
        <w:numPr>
          <w:ilvl w:val="0"/>
          <w:numId w:val="0"/>
        </w:numPr>
        <w:kinsoku/>
        <w:wordWrap/>
        <w:overflowPunct/>
        <w:topLinePunct w:val="0"/>
        <w:autoSpaceDE/>
        <w:autoSpaceDN/>
        <w:bidi w:val="0"/>
        <w:spacing w:line="590" w:lineRule="exact"/>
        <w:ind w:left="0" w:leftChars="0" w:firstLine="600" w:firstLineChars="200"/>
        <w:jc w:val="both"/>
        <w:textAlignment w:val="auto"/>
        <w:rPr>
          <w:rFonts w:hint="eastAsia" w:ascii="仿宋_GB2312" w:hAnsi="仿宋_GB2312" w:eastAsia="仿宋_GB2312" w:cs="仿宋_GB2312"/>
          <w:b w:val="0"/>
          <w:bCs w:val="0"/>
          <w:kern w:val="2"/>
          <w:sz w:val="30"/>
          <w:szCs w:val="32"/>
          <w:lang w:val="en-US" w:eastAsia="zh-CN" w:bidi="ar-SA"/>
        </w:rPr>
      </w:pPr>
      <w:r>
        <w:rPr>
          <w:rFonts w:hint="eastAsia" w:ascii="仿宋_GB2312" w:hAnsi="仿宋_GB2312" w:eastAsia="仿宋_GB2312" w:cs="仿宋_GB2312"/>
          <w:b w:val="0"/>
          <w:bCs w:val="0"/>
          <w:kern w:val="2"/>
          <w:sz w:val="30"/>
          <w:szCs w:val="32"/>
          <w:lang w:val="en-US" w:eastAsia="zh-CN" w:bidi="ar-SA"/>
        </w:rPr>
        <w:t>（1）数据提取：将纸质版的隐患整改通知书、扫描件形式的培训签到表、现场排查照片及视频等多模态文档，转换为可编辑、可检索的结构化文本数据与关联附件。</w:t>
      </w:r>
    </w:p>
    <w:p>
      <w:pPr>
        <w:pageBreakBefore w:val="0"/>
        <w:numPr>
          <w:ilvl w:val="0"/>
          <w:numId w:val="0"/>
        </w:numPr>
        <w:kinsoku/>
        <w:wordWrap/>
        <w:overflowPunct/>
        <w:topLinePunct w:val="0"/>
        <w:autoSpaceDE/>
        <w:autoSpaceDN/>
        <w:bidi w:val="0"/>
        <w:spacing w:line="590" w:lineRule="exact"/>
        <w:ind w:left="0" w:leftChars="0" w:firstLine="600" w:firstLineChars="200"/>
        <w:jc w:val="both"/>
        <w:textAlignment w:val="auto"/>
        <w:rPr>
          <w:rFonts w:hint="eastAsia" w:ascii="仿宋_GB2312" w:hAnsi="仿宋_GB2312" w:eastAsia="仿宋_GB2312" w:cs="仿宋_GB2312"/>
          <w:b w:val="0"/>
          <w:bCs w:val="0"/>
          <w:kern w:val="2"/>
          <w:sz w:val="30"/>
          <w:szCs w:val="32"/>
          <w:lang w:val="en-US" w:eastAsia="zh-CN" w:bidi="ar-SA"/>
        </w:rPr>
      </w:pPr>
      <w:r>
        <w:rPr>
          <w:rFonts w:hint="eastAsia" w:ascii="仿宋_GB2312" w:hAnsi="仿宋_GB2312" w:eastAsia="仿宋_GB2312" w:cs="仿宋_GB2312"/>
          <w:b w:val="0"/>
          <w:bCs w:val="0"/>
          <w:kern w:val="2"/>
          <w:sz w:val="30"/>
          <w:szCs w:val="32"/>
          <w:lang w:val="en-US" w:eastAsia="zh-CN" w:bidi="ar-SA"/>
        </w:rPr>
        <w:t>（2）数据格式标准化：采用统一的格式对提取数据进行分类存储，确保服务记录的规范性和一致性，便于后续进行服务质量画像评分和大数据分析。</w:t>
      </w:r>
    </w:p>
    <w:p>
      <w:pPr>
        <w:pageBreakBefore w:val="0"/>
        <w:numPr>
          <w:ilvl w:val="0"/>
          <w:numId w:val="0"/>
        </w:numPr>
        <w:kinsoku/>
        <w:wordWrap/>
        <w:overflowPunct/>
        <w:topLinePunct w:val="0"/>
        <w:autoSpaceDE/>
        <w:autoSpaceDN/>
        <w:bidi w:val="0"/>
        <w:spacing w:line="590" w:lineRule="exact"/>
        <w:ind w:left="0" w:leftChars="0" w:firstLine="600" w:firstLineChars="200"/>
        <w:jc w:val="both"/>
        <w:textAlignment w:val="auto"/>
        <w:rPr>
          <w:rFonts w:hint="eastAsia" w:ascii="仿宋_GB2312" w:hAnsi="仿宋_GB2312" w:eastAsia="仿宋_GB2312" w:cs="仿宋_GB2312"/>
          <w:b w:val="0"/>
          <w:bCs w:val="0"/>
          <w:color w:val="auto"/>
          <w:kern w:val="2"/>
          <w:sz w:val="30"/>
          <w:szCs w:val="32"/>
          <w:lang w:val="en-US" w:eastAsia="zh-CN" w:bidi="ar-SA"/>
        </w:rPr>
      </w:pPr>
      <w:r>
        <w:rPr>
          <w:rFonts w:hint="eastAsia" w:ascii="仿宋_GB2312" w:hAnsi="仿宋_GB2312" w:eastAsia="仿宋_GB2312" w:cs="仿宋_GB2312"/>
          <w:b w:val="0"/>
          <w:bCs w:val="0"/>
          <w:color w:val="auto"/>
          <w:kern w:val="2"/>
          <w:sz w:val="30"/>
          <w:szCs w:val="32"/>
          <w:lang w:val="en-US" w:eastAsia="zh-CN" w:bidi="ar-SA"/>
        </w:rPr>
        <w:t>（3）成果提交：将整理后的数据存储在光盘并提交。</w:t>
      </w:r>
    </w:p>
    <w:p>
      <w:pPr>
        <w:pStyle w:val="3"/>
        <w:pageBreakBefore w:val="0"/>
        <w:numPr>
          <w:ilvl w:val="1"/>
          <w:numId w:val="0"/>
        </w:numPr>
        <w:kinsoku/>
        <w:wordWrap/>
        <w:overflowPunct/>
        <w:topLinePunct w:val="0"/>
        <w:autoSpaceDE/>
        <w:autoSpaceDN/>
        <w:bidi w:val="0"/>
        <w:spacing w:before="0" w:after="0" w:line="590" w:lineRule="exact"/>
        <w:ind w:left="0" w:leftChars="0" w:firstLine="602" w:firstLineChars="200"/>
        <w:textAlignment w:val="auto"/>
        <w:rPr>
          <w:rFonts w:hint="eastAsia" w:ascii="仿宋_GB2312" w:hAnsi="仿宋_GB2312" w:eastAsia="仿宋_GB2312" w:cs="仿宋_GB2312"/>
          <w:b/>
          <w:bCs/>
          <w:color w:val="auto"/>
          <w:kern w:val="2"/>
          <w:sz w:val="30"/>
          <w:szCs w:val="32"/>
          <w:lang w:val="en-US" w:eastAsia="zh-CN" w:bidi="ar-SA"/>
        </w:rPr>
      </w:pPr>
      <w:r>
        <w:rPr>
          <w:rFonts w:hint="eastAsia" w:ascii="仿宋_GB2312" w:hAnsi="仿宋_GB2312" w:eastAsia="仿宋_GB2312" w:cs="仿宋_GB2312"/>
          <w:b/>
          <w:bCs/>
          <w:color w:val="auto"/>
          <w:kern w:val="2"/>
          <w:sz w:val="30"/>
          <w:szCs w:val="32"/>
          <w:lang w:val="en-US" w:eastAsia="zh-CN" w:bidi="ar-SA"/>
        </w:rPr>
        <w:t>（三）数据成果展示</w:t>
      </w:r>
    </w:p>
    <w:p>
      <w:pPr>
        <w:pageBreakBefore w:val="0"/>
        <w:numPr>
          <w:ilvl w:val="0"/>
          <w:numId w:val="0"/>
        </w:numPr>
        <w:kinsoku/>
        <w:wordWrap/>
        <w:overflowPunct/>
        <w:topLinePunct w:val="0"/>
        <w:autoSpaceDE/>
        <w:autoSpaceDN/>
        <w:bidi w:val="0"/>
        <w:spacing w:line="590" w:lineRule="exact"/>
        <w:ind w:left="0" w:leftChars="0" w:firstLine="600" w:firstLineChars="200"/>
        <w:jc w:val="both"/>
        <w:textAlignment w:val="auto"/>
        <w:rPr>
          <w:rFonts w:hint="eastAsia" w:ascii="仿宋_GB2312" w:hAnsi="仿宋_GB2312" w:eastAsia="仿宋_GB2312" w:cs="仿宋_GB2312"/>
          <w:b w:val="0"/>
          <w:bCs w:val="0"/>
          <w:color w:val="auto"/>
          <w:kern w:val="2"/>
          <w:sz w:val="30"/>
          <w:szCs w:val="32"/>
          <w:lang w:val="en-US" w:eastAsia="zh-CN" w:bidi="ar-SA"/>
        </w:rPr>
      </w:pPr>
      <w:r>
        <w:rPr>
          <w:rFonts w:hint="eastAsia" w:ascii="仿宋_GB2312" w:hAnsi="仿宋_GB2312" w:eastAsia="仿宋_GB2312" w:cs="仿宋_GB2312"/>
          <w:b w:val="0"/>
          <w:bCs w:val="0"/>
          <w:color w:val="auto"/>
          <w:kern w:val="2"/>
          <w:sz w:val="30"/>
          <w:szCs w:val="32"/>
          <w:lang w:val="en-US" w:eastAsia="zh-CN" w:bidi="ar-SA"/>
        </w:rPr>
        <w:t>对水利安全生产六项机制及安责险相关结构化数据进行规范化整理、录入数据库，在福建省水利监管工作平台完成页面展示。展示的内容包括：</w:t>
      </w:r>
    </w:p>
    <w:p>
      <w:pPr>
        <w:pageBreakBefore w:val="0"/>
        <w:numPr>
          <w:ilvl w:val="0"/>
          <w:numId w:val="0"/>
        </w:numPr>
        <w:kinsoku/>
        <w:wordWrap/>
        <w:overflowPunct/>
        <w:topLinePunct w:val="0"/>
        <w:autoSpaceDE/>
        <w:autoSpaceDN/>
        <w:bidi w:val="0"/>
        <w:spacing w:line="590" w:lineRule="exact"/>
        <w:ind w:left="0" w:leftChars="0" w:firstLine="600" w:firstLineChars="200"/>
        <w:jc w:val="both"/>
        <w:textAlignment w:val="auto"/>
        <w:rPr>
          <w:rFonts w:hint="eastAsia" w:ascii="仿宋_GB2312" w:hAnsi="仿宋_GB2312" w:eastAsia="仿宋_GB2312" w:cs="仿宋_GB2312"/>
          <w:b w:val="0"/>
          <w:bCs w:val="0"/>
          <w:color w:val="auto"/>
          <w:kern w:val="2"/>
          <w:sz w:val="30"/>
          <w:szCs w:val="32"/>
          <w:lang w:val="en-US" w:eastAsia="zh-CN" w:bidi="ar-SA"/>
        </w:rPr>
      </w:pPr>
      <w:r>
        <w:rPr>
          <w:rFonts w:hint="eastAsia" w:ascii="仿宋_GB2312" w:hAnsi="仿宋_GB2312" w:eastAsia="仿宋_GB2312" w:cs="仿宋_GB2312"/>
          <w:b w:val="0"/>
          <w:bCs w:val="0"/>
          <w:color w:val="auto"/>
          <w:kern w:val="2"/>
          <w:sz w:val="30"/>
          <w:szCs w:val="32"/>
          <w:lang w:val="en-US" w:eastAsia="zh-CN" w:bidi="ar-SA"/>
        </w:rPr>
        <w:t>水利安全生产六项机制相关数据展示，围绕项目基础、风险查找、风险研判、风险预警、风险防范、风险处置、责任落实七大维度，直观展示全省水利工程基础台账、危险源排查清单、风险等级评定资料、监测预警记录、风险防控措施、应急处置资料、安全生产责任落实台账等全链条电子化档案及对应统计数据；</w:t>
      </w:r>
    </w:p>
    <w:p>
      <w:pPr>
        <w:pageBreakBefore w:val="0"/>
        <w:numPr>
          <w:ilvl w:val="0"/>
          <w:numId w:val="0"/>
        </w:numPr>
        <w:kinsoku/>
        <w:wordWrap/>
        <w:overflowPunct/>
        <w:topLinePunct w:val="0"/>
        <w:autoSpaceDE/>
        <w:autoSpaceDN/>
        <w:bidi w:val="0"/>
        <w:spacing w:line="590" w:lineRule="exact"/>
        <w:ind w:left="0" w:leftChars="0" w:firstLine="600" w:firstLineChars="200"/>
        <w:jc w:val="both"/>
        <w:textAlignment w:val="auto"/>
        <w:rPr>
          <w:rFonts w:hint="eastAsia" w:ascii="仿宋_GB2312" w:hAnsi="仿宋_GB2312" w:eastAsia="仿宋_GB2312" w:cs="仿宋_GB2312"/>
          <w:b w:val="0"/>
          <w:bCs w:val="0"/>
          <w:color w:val="auto"/>
          <w:kern w:val="2"/>
          <w:sz w:val="30"/>
          <w:szCs w:val="32"/>
          <w:lang w:val="en-US" w:eastAsia="zh-CN" w:bidi="ar-SA"/>
        </w:rPr>
      </w:pPr>
      <w:r>
        <w:rPr>
          <w:rFonts w:hint="eastAsia" w:ascii="仿宋_GB2312" w:hAnsi="仿宋_GB2312" w:eastAsia="仿宋_GB2312" w:cs="仿宋_GB2312"/>
          <w:b w:val="0"/>
          <w:bCs w:val="0"/>
          <w:color w:val="auto"/>
          <w:kern w:val="2"/>
          <w:sz w:val="30"/>
          <w:szCs w:val="32"/>
          <w:lang w:val="en-US" w:eastAsia="zh-CN" w:bidi="ar-SA"/>
        </w:rPr>
        <w:t>安责险数字档案相关数据展示，聚焦建设项目、保险机构、事故预防服务机构三方主体，展示安全培训资料、危险源辨识评价资料、隐患排查及整改闭环资料、应急预案与演练资料、安全生产标准化建设帮扶资料、第三方事故预防服务全过程台账数据；</w:t>
      </w:r>
    </w:p>
    <w:p>
      <w:pPr>
        <w:pageBreakBefore w:val="0"/>
        <w:numPr>
          <w:ilvl w:val="0"/>
          <w:numId w:val="0"/>
        </w:numPr>
        <w:kinsoku/>
        <w:wordWrap/>
        <w:overflowPunct/>
        <w:topLinePunct w:val="0"/>
        <w:autoSpaceDE/>
        <w:autoSpaceDN/>
        <w:bidi w:val="0"/>
        <w:spacing w:line="590" w:lineRule="exact"/>
        <w:ind w:left="0" w:leftChars="0" w:firstLine="600" w:firstLineChars="200"/>
        <w:jc w:val="both"/>
        <w:textAlignment w:val="auto"/>
        <w:rPr>
          <w:rFonts w:hint="eastAsia" w:ascii="仿宋_GB2312" w:hAnsi="仿宋_GB2312" w:eastAsia="仿宋_GB2312" w:cs="仿宋_GB2312"/>
          <w:b w:val="0"/>
          <w:bCs w:val="0"/>
          <w:color w:val="auto"/>
          <w:kern w:val="2"/>
          <w:sz w:val="30"/>
          <w:szCs w:val="32"/>
          <w:lang w:val="en-US" w:eastAsia="zh-CN" w:bidi="ar-SA"/>
        </w:rPr>
      </w:pPr>
      <w:r>
        <w:rPr>
          <w:rFonts w:hint="eastAsia" w:ascii="仿宋_GB2312" w:hAnsi="仿宋_GB2312" w:eastAsia="仿宋_GB2312" w:cs="仿宋_GB2312"/>
          <w:b w:val="0"/>
          <w:bCs w:val="0"/>
          <w:color w:val="auto"/>
          <w:kern w:val="2"/>
          <w:sz w:val="30"/>
          <w:szCs w:val="32"/>
          <w:lang w:val="en-US" w:eastAsia="zh-CN" w:bidi="ar-SA"/>
        </w:rPr>
        <w:t>平台基础档案操作功能展示，实现两类安全档案统一分类存放，支持按工程、时间、资料类型进行条件检索，可在线查看各类原始归档附件，同时支持平台内档案数据单独导出与整套资料批量导出，方便管理人员日常查看、调取与归档留存。</w:t>
      </w:r>
    </w:p>
    <w:p>
      <w:pPr>
        <w:pStyle w:val="2"/>
        <w:pageBreakBefore w:val="0"/>
        <w:numPr>
          <w:ilvl w:val="0"/>
          <w:numId w:val="0"/>
        </w:numPr>
        <w:kinsoku/>
        <w:wordWrap/>
        <w:overflowPunct/>
        <w:topLinePunct w:val="0"/>
        <w:autoSpaceDE/>
        <w:autoSpaceDN/>
        <w:bidi w:val="0"/>
        <w:spacing w:before="0" w:after="0" w:line="590" w:lineRule="exact"/>
        <w:ind w:leftChars="0" w:firstLine="602" w:firstLineChars="200"/>
        <w:jc w:val="left"/>
        <w:textAlignment w:val="auto"/>
        <w:outlineLvl w:val="0"/>
        <w:rPr>
          <w:rFonts w:hint="eastAsia" w:ascii="仿宋_GB2312" w:hAnsi="仿宋_GB2312" w:eastAsia="仿宋_GB2312" w:cs="仿宋_GB2312"/>
          <w:b/>
          <w:bCs/>
          <w:color w:val="auto"/>
          <w:kern w:val="2"/>
          <w:sz w:val="30"/>
          <w:szCs w:val="32"/>
          <w:lang w:val="en-US" w:eastAsia="zh-CN" w:bidi="ar-SA"/>
        </w:rPr>
      </w:pPr>
      <w:r>
        <w:rPr>
          <w:rFonts w:hint="eastAsia" w:ascii="仿宋_GB2312" w:hAnsi="仿宋_GB2312" w:eastAsia="仿宋_GB2312" w:cs="仿宋_GB2312"/>
          <w:b/>
          <w:bCs/>
          <w:color w:val="auto"/>
          <w:kern w:val="2"/>
          <w:sz w:val="30"/>
          <w:szCs w:val="32"/>
          <w:lang w:val="en-US" w:eastAsia="zh-CN" w:bidi="ar-SA"/>
        </w:rPr>
        <w:t>（四）水利安全生产六项机制、安责险评分服务</w:t>
      </w:r>
    </w:p>
    <w:p>
      <w:pPr>
        <w:pageBreakBefore w:val="0"/>
        <w:numPr>
          <w:ilvl w:val="0"/>
          <w:numId w:val="0"/>
        </w:numPr>
        <w:kinsoku/>
        <w:wordWrap/>
        <w:overflowPunct/>
        <w:topLinePunct w:val="0"/>
        <w:autoSpaceDE/>
        <w:autoSpaceDN/>
        <w:bidi w:val="0"/>
        <w:spacing w:line="590" w:lineRule="exact"/>
        <w:ind w:left="0" w:leftChars="0" w:firstLine="600" w:firstLineChars="200"/>
        <w:jc w:val="both"/>
        <w:textAlignment w:val="auto"/>
        <w:rPr>
          <w:rFonts w:hint="eastAsia" w:ascii="仿宋_GB2312" w:hAnsi="仿宋_GB2312" w:eastAsia="仿宋_GB2312" w:cs="仿宋_GB2312"/>
          <w:b w:val="0"/>
          <w:bCs w:val="0"/>
          <w:color w:val="auto"/>
          <w:kern w:val="2"/>
          <w:sz w:val="30"/>
          <w:szCs w:val="32"/>
          <w:lang w:val="en-US" w:eastAsia="zh-CN" w:bidi="ar-SA"/>
        </w:rPr>
      </w:pPr>
      <w:r>
        <w:rPr>
          <w:rFonts w:hint="eastAsia" w:ascii="仿宋_GB2312" w:hAnsi="仿宋_GB2312" w:eastAsia="仿宋_GB2312" w:cs="仿宋_GB2312"/>
          <w:b w:val="0"/>
          <w:bCs w:val="0"/>
          <w:color w:val="auto"/>
          <w:kern w:val="2"/>
          <w:sz w:val="30"/>
          <w:szCs w:val="32"/>
          <w:lang w:val="en-US" w:eastAsia="zh-CN" w:bidi="ar-SA"/>
        </w:rPr>
        <w:t>结合水利安全监管工作实际，搭建可量化的评分规则体系，形成标准化评分手册。</w:t>
      </w:r>
    </w:p>
    <w:p>
      <w:pPr>
        <w:pageBreakBefore w:val="0"/>
        <w:numPr>
          <w:ilvl w:val="0"/>
          <w:numId w:val="0"/>
        </w:numPr>
        <w:kinsoku/>
        <w:wordWrap/>
        <w:overflowPunct/>
        <w:topLinePunct w:val="0"/>
        <w:autoSpaceDE/>
        <w:autoSpaceDN/>
        <w:bidi w:val="0"/>
        <w:spacing w:line="590" w:lineRule="exact"/>
        <w:ind w:left="0" w:leftChars="0" w:firstLine="600" w:firstLineChars="200"/>
        <w:jc w:val="left"/>
        <w:textAlignment w:val="auto"/>
        <w:rPr>
          <w:rFonts w:hint="eastAsia" w:ascii="仿宋_GB2312" w:hAnsi="仿宋_GB2312" w:eastAsia="仿宋_GB2312" w:cs="仿宋_GB2312"/>
          <w:b w:val="0"/>
          <w:bCs w:val="0"/>
          <w:color w:val="auto"/>
          <w:kern w:val="2"/>
          <w:sz w:val="30"/>
          <w:szCs w:val="32"/>
          <w:lang w:val="en-US" w:eastAsia="zh-CN" w:bidi="ar-SA"/>
        </w:rPr>
      </w:pPr>
      <w:r>
        <w:rPr>
          <w:rFonts w:hint="eastAsia" w:ascii="仿宋_GB2312" w:hAnsi="仿宋_GB2312" w:eastAsia="仿宋_GB2312" w:cs="仿宋_GB2312"/>
          <w:b w:val="0"/>
          <w:bCs w:val="0"/>
          <w:color w:val="auto"/>
          <w:kern w:val="2"/>
          <w:sz w:val="30"/>
          <w:szCs w:val="32"/>
          <w:lang w:val="en-US" w:eastAsia="zh-CN" w:bidi="ar-SA"/>
        </w:rPr>
        <w:t>1、水利安全生产六项机制、安责险评分规则制定服务</w:t>
      </w:r>
    </w:p>
    <w:p>
      <w:pPr>
        <w:pageBreakBefore w:val="0"/>
        <w:numPr>
          <w:ilvl w:val="0"/>
          <w:numId w:val="0"/>
        </w:numPr>
        <w:kinsoku/>
        <w:wordWrap/>
        <w:overflowPunct/>
        <w:topLinePunct w:val="0"/>
        <w:autoSpaceDE/>
        <w:autoSpaceDN/>
        <w:bidi w:val="0"/>
        <w:spacing w:line="590" w:lineRule="exact"/>
        <w:ind w:left="0" w:leftChars="0" w:firstLine="600" w:firstLineChars="200"/>
        <w:jc w:val="left"/>
        <w:textAlignment w:val="auto"/>
        <w:rPr>
          <w:rFonts w:hint="eastAsia" w:ascii="仿宋_GB2312" w:hAnsi="仿宋_GB2312" w:eastAsia="仿宋_GB2312" w:cs="仿宋_GB2312"/>
          <w:b w:val="0"/>
          <w:bCs w:val="0"/>
          <w:color w:val="auto"/>
          <w:kern w:val="2"/>
          <w:sz w:val="30"/>
          <w:szCs w:val="32"/>
          <w:lang w:val="en-US" w:eastAsia="zh-CN" w:bidi="ar-SA"/>
        </w:rPr>
      </w:pPr>
      <w:r>
        <w:rPr>
          <w:rFonts w:hint="eastAsia" w:ascii="仿宋_GB2312" w:hAnsi="仿宋_GB2312" w:eastAsia="仿宋_GB2312" w:cs="仿宋_GB2312"/>
          <w:b w:val="0"/>
          <w:bCs w:val="0"/>
          <w:color w:val="auto"/>
          <w:kern w:val="2"/>
          <w:sz w:val="30"/>
          <w:szCs w:val="32"/>
          <w:lang w:val="en-US" w:eastAsia="zh-CN" w:bidi="ar-SA"/>
        </w:rPr>
        <w:t>（1）评分维度细化：</w:t>
      </w:r>
    </w:p>
    <w:p>
      <w:pPr>
        <w:pageBreakBefore w:val="0"/>
        <w:numPr>
          <w:ilvl w:val="0"/>
          <w:numId w:val="0"/>
        </w:numPr>
        <w:kinsoku/>
        <w:wordWrap/>
        <w:overflowPunct/>
        <w:topLinePunct w:val="0"/>
        <w:autoSpaceDE/>
        <w:autoSpaceDN/>
        <w:bidi w:val="0"/>
        <w:spacing w:line="590" w:lineRule="exact"/>
        <w:ind w:left="0" w:leftChars="0" w:firstLine="600" w:firstLineChars="200"/>
        <w:jc w:val="left"/>
        <w:textAlignment w:val="auto"/>
        <w:rPr>
          <w:rFonts w:hint="eastAsia" w:ascii="仿宋_GB2312" w:hAnsi="仿宋_GB2312" w:eastAsia="仿宋_GB2312" w:cs="仿宋_GB2312"/>
          <w:b w:val="0"/>
          <w:bCs w:val="0"/>
          <w:kern w:val="2"/>
          <w:sz w:val="30"/>
          <w:szCs w:val="32"/>
          <w:lang w:val="en-US" w:eastAsia="zh-CN" w:bidi="ar-SA"/>
        </w:rPr>
      </w:pPr>
      <w:r>
        <w:rPr>
          <w:rFonts w:hint="eastAsia" w:ascii="仿宋_GB2312" w:hAnsi="仿宋_GB2312" w:eastAsia="仿宋_GB2312" w:cs="仿宋_GB2312"/>
          <w:b w:val="0"/>
          <w:bCs w:val="0"/>
          <w:color w:val="auto"/>
          <w:kern w:val="2"/>
          <w:sz w:val="30"/>
          <w:szCs w:val="32"/>
          <w:lang w:val="en-US" w:eastAsia="zh-CN" w:bidi="ar-SA"/>
        </w:rPr>
        <w:t>“六项机制”评分维度细化紧扣“查找、研判、预警、防范、处置、责任”六大核心环节。重点细化危险源</w:t>
      </w:r>
      <w:r>
        <w:rPr>
          <w:rFonts w:hint="eastAsia" w:ascii="仿宋_GB2312" w:hAnsi="仿宋_GB2312" w:eastAsia="仿宋_GB2312" w:cs="仿宋_GB2312"/>
          <w:b w:val="0"/>
          <w:bCs w:val="0"/>
          <w:kern w:val="2"/>
          <w:sz w:val="30"/>
          <w:szCs w:val="32"/>
          <w:lang w:val="en-US" w:eastAsia="zh-CN" w:bidi="ar-SA"/>
        </w:rPr>
        <w:t>全面辨识与动态更新率、风险等级科学评价与清单建立情况、监测监控与预警发布时效性、隐患排查治理及防范措施落实率、应急预案完善度与演练频次等情况。</w:t>
      </w:r>
    </w:p>
    <w:p>
      <w:pPr>
        <w:pageBreakBefore w:val="0"/>
        <w:numPr>
          <w:ilvl w:val="0"/>
          <w:numId w:val="0"/>
        </w:numPr>
        <w:kinsoku/>
        <w:wordWrap/>
        <w:overflowPunct/>
        <w:topLinePunct w:val="0"/>
        <w:autoSpaceDE/>
        <w:autoSpaceDN/>
        <w:bidi w:val="0"/>
        <w:spacing w:line="590" w:lineRule="exact"/>
        <w:ind w:left="0" w:leftChars="0" w:firstLine="600" w:firstLineChars="200"/>
        <w:jc w:val="left"/>
        <w:textAlignment w:val="auto"/>
        <w:rPr>
          <w:rFonts w:hint="eastAsia" w:ascii="仿宋_GB2312" w:hAnsi="仿宋_GB2312" w:eastAsia="仿宋_GB2312" w:cs="仿宋_GB2312"/>
          <w:b w:val="0"/>
          <w:bCs w:val="0"/>
          <w:kern w:val="2"/>
          <w:sz w:val="30"/>
          <w:szCs w:val="32"/>
          <w:lang w:val="en-US" w:eastAsia="zh-CN" w:bidi="ar-SA"/>
        </w:rPr>
      </w:pPr>
      <w:r>
        <w:rPr>
          <w:rFonts w:hint="eastAsia" w:ascii="仿宋_GB2312" w:hAnsi="仿宋_GB2312" w:eastAsia="仿宋_GB2312" w:cs="仿宋_GB2312"/>
          <w:b w:val="0"/>
          <w:bCs w:val="0"/>
          <w:kern w:val="2"/>
          <w:sz w:val="30"/>
          <w:szCs w:val="32"/>
          <w:lang w:val="en-US" w:eastAsia="zh-CN" w:bidi="ar-SA"/>
        </w:rPr>
        <w:t>“安责险”评分维度细化聚焦安责险的“事故预防”与“经济赔偿”双重功能。重点考核在建水利工程安责险投保覆盖率、保险机构提供的事故预防服务频次与质量、重大事故隐患整改闭环率、理赔流程的规范性与时效性，以及保费费率与安全管理绩效的动态挂钩落实等情况。</w:t>
      </w:r>
    </w:p>
    <w:p>
      <w:pPr>
        <w:pageBreakBefore w:val="0"/>
        <w:numPr>
          <w:ilvl w:val="0"/>
          <w:numId w:val="0"/>
        </w:numPr>
        <w:kinsoku/>
        <w:wordWrap/>
        <w:overflowPunct/>
        <w:topLinePunct w:val="0"/>
        <w:autoSpaceDE/>
        <w:autoSpaceDN/>
        <w:bidi w:val="0"/>
        <w:spacing w:line="590" w:lineRule="exact"/>
        <w:ind w:left="0" w:leftChars="0" w:firstLine="600" w:firstLineChars="200"/>
        <w:jc w:val="left"/>
        <w:textAlignment w:val="auto"/>
        <w:rPr>
          <w:rFonts w:hint="eastAsia" w:ascii="仿宋_GB2312" w:hAnsi="仿宋_GB2312" w:eastAsia="仿宋_GB2312" w:cs="仿宋_GB2312"/>
          <w:b w:val="0"/>
          <w:bCs w:val="0"/>
          <w:kern w:val="2"/>
          <w:sz w:val="30"/>
          <w:szCs w:val="32"/>
          <w:lang w:val="en-US" w:eastAsia="zh-CN" w:bidi="ar-SA"/>
        </w:rPr>
      </w:pPr>
      <w:r>
        <w:rPr>
          <w:rFonts w:hint="eastAsia" w:ascii="仿宋_GB2312" w:hAnsi="仿宋_GB2312" w:eastAsia="仿宋_GB2312" w:cs="仿宋_GB2312"/>
          <w:b w:val="0"/>
          <w:bCs w:val="0"/>
          <w:kern w:val="2"/>
          <w:sz w:val="30"/>
          <w:szCs w:val="32"/>
          <w:lang w:val="en-US" w:eastAsia="zh-CN" w:bidi="ar-SA"/>
        </w:rPr>
        <w:t>2、评分标准设定并进行评分计算：</w:t>
      </w:r>
    </w:p>
    <w:p>
      <w:pPr>
        <w:pageBreakBefore w:val="0"/>
        <w:numPr>
          <w:ilvl w:val="0"/>
          <w:numId w:val="0"/>
        </w:numPr>
        <w:kinsoku/>
        <w:wordWrap/>
        <w:overflowPunct/>
        <w:topLinePunct w:val="0"/>
        <w:autoSpaceDE/>
        <w:autoSpaceDN/>
        <w:bidi w:val="0"/>
        <w:spacing w:line="590" w:lineRule="exact"/>
        <w:ind w:left="0" w:leftChars="0" w:firstLine="600" w:firstLineChars="200"/>
        <w:jc w:val="left"/>
        <w:textAlignment w:val="auto"/>
        <w:rPr>
          <w:rFonts w:hint="eastAsia" w:ascii="仿宋_GB2312" w:hAnsi="仿宋_GB2312" w:eastAsia="仿宋_GB2312" w:cs="仿宋_GB2312"/>
          <w:b w:val="0"/>
          <w:bCs w:val="0"/>
          <w:kern w:val="2"/>
          <w:sz w:val="30"/>
          <w:szCs w:val="32"/>
          <w:lang w:val="en-US" w:eastAsia="zh-CN" w:bidi="ar-SA"/>
        </w:rPr>
      </w:pPr>
      <w:r>
        <w:rPr>
          <w:rFonts w:hint="eastAsia" w:ascii="仿宋_GB2312" w:hAnsi="仿宋_GB2312" w:eastAsia="仿宋_GB2312" w:cs="仿宋_GB2312"/>
          <w:b w:val="0"/>
          <w:bCs w:val="0"/>
          <w:kern w:val="2"/>
          <w:sz w:val="30"/>
          <w:szCs w:val="32"/>
          <w:lang w:val="en-US" w:eastAsia="zh-CN" w:bidi="ar-SA"/>
        </w:rPr>
        <w:t>针对上述两大维度的不同特点，分别设定差异化的评分标准与计算公式：</w:t>
      </w:r>
    </w:p>
    <w:p>
      <w:pPr>
        <w:pageBreakBefore w:val="0"/>
        <w:numPr>
          <w:ilvl w:val="0"/>
          <w:numId w:val="0"/>
        </w:numPr>
        <w:kinsoku/>
        <w:wordWrap/>
        <w:overflowPunct/>
        <w:topLinePunct w:val="0"/>
        <w:autoSpaceDE/>
        <w:autoSpaceDN/>
        <w:bidi w:val="0"/>
        <w:spacing w:line="590" w:lineRule="exact"/>
        <w:ind w:left="0" w:leftChars="0" w:firstLine="600" w:firstLineChars="200"/>
        <w:jc w:val="left"/>
        <w:textAlignment w:val="auto"/>
        <w:rPr>
          <w:rFonts w:hint="eastAsia" w:ascii="仿宋_GB2312" w:hAnsi="仿宋_GB2312" w:eastAsia="仿宋_GB2312" w:cs="仿宋_GB2312"/>
          <w:b w:val="0"/>
          <w:bCs w:val="0"/>
          <w:kern w:val="2"/>
          <w:sz w:val="30"/>
          <w:szCs w:val="32"/>
          <w:lang w:val="en-US" w:eastAsia="zh-CN" w:bidi="ar-SA"/>
        </w:rPr>
      </w:pPr>
      <w:r>
        <w:rPr>
          <w:rFonts w:hint="eastAsia" w:ascii="仿宋_GB2312" w:hAnsi="仿宋_GB2312" w:eastAsia="仿宋_GB2312" w:cs="仿宋_GB2312"/>
          <w:b w:val="0"/>
          <w:bCs w:val="0"/>
          <w:kern w:val="2"/>
          <w:sz w:val="30"/>
          <w:szCs w:val="32"/>
          <w:lang w:val="en-US" w:eastAsia="zh-CN" w:bidi="ar-SA"/>
        </w:rPr>
        <w:t>（1）“六项机制”评分标准：侧重于过程管控与体系建设。采用定性评估与定量考核相结合的方式，例如对“危险源辨识是否全面”、“预警响应是否及时”等设置明确的扣分项与加分项，确保风险管控全链条无死角，并动态赋分。</w:t>
      </w:r>
    </w:p>
    <w:p>
      <w:pPr>
        <w:pageBreakBefore w:val="0"/>
        <w:numPr>
          <w:ilvl w:val="0"/>
          <w:numId w:val="0"/>
        </w:numPr>
        <w:kinsoku/>
        <w:wordWrap/>
        <w:overflowPunct/>
        <w:topLinePunct w:val="0"/>
        <w:autoSpaceDE/>
        <w:autoSpaceDN/>
        <w:bidi w:val="0"/>
        <w:spacing w:line="590" w:lineRule="exact"/>
        <w:ind w:left="0" w:leftChars="0" w:firstLine="600" w:firstLineChars="200"/>
        <w:jc w:val="left"/>
        <w:textAlignment w:val="auto"/>
        <w:rPr>
          <w:rFonts w:hint="eastAsia" w:ascii="仿宋_GB2312" w:hAnsi="仿宋_GB2312" w:eastAsia="仿宋_GB2312" w:cs="仿宋_GB2312"/>
          <w:b w:val="0"/>
          <w:bCs w:val="0"/>
          <w:kern w:val="2"/>
          <w:sz w:val="30"/>
          <w:szCs w:val="32"/>
          <w:lang w:val="en-US" w:eastAsia="zh-CN" w:bidi="ar-SA"/>
        </w:rPr>
      </w:pPr>
      <w:r>
        <w:rPr>
          <w:rFonts w:hint="eastAsia" w:ascii="仿宋_GB2312" w:hAnsi="仿宋_GB2312" w:eastAsia="仿宋_GB2312" w:cs="仿宋_GB2312"/>
          <w:b w:val="0"/>
          <w:bCs w:val="0"/>
          <w:kern w:val="2"/>
          <w:sz w:val="30"/>
          <w:szCs w:val="32"/>
          <w:lang w:val="en-US" w:eastAsia="zh-CN" w:bidi="ar-SA"/>
        </w:rPr>
        <w:t>（2）“安责险”评分标准：侧重于结果导向与服务实效。设计具体的量化指标，如“事故预防服务完成率=实际开展服务次数/合同约定服务次数×100%”，并将隐患排查成效、理赔满意度等纳入得分区间划分，激励保险机构提升专业服务水平</w:t>
      </w:r>
      <w:r>
        <w:rPr>
          <w:rFonts w:hint="eastAsia" w:ascii="仿宋_GB2312" w:hAnsi="仿宋_GB2312" w:eastAsia="仿宋_GB2312" w:cs="仿宋_GB2312"/>
          <w:b w:val="0"/>
          <w:bCs w:val="0"/>
          <w:kern w:val="2"/>
          <w:sz w:val="32"/>
          <w:szCs w:val="32"/>
          <w:lang w:val="en-US" w:eastAsia="zh-CN" w:bidi="ar-SA"/>
        </w:rPr>
        <w:t>，并动态赋分。</w:t>
      </w:r>
    </w:p>
    <w:p>
      <w:pPr>
        <w:pageBreakBefore w:val="0"/>
        <w:numPr>
          <w:ilvl w:val="0"/>
          <w:numId w:val="0"/>
        </w:numPr>
        <w:kinsoku/>
        <w:wordWrap/>
        <w:overflowPunct/>
        <w:topLinePunct w:val="0"/>
        <w:autoSpaceDE/>
        <w:autoSpaceDN/>
        <w:bidi w:val="0"/>
        <w:spacing w:line="590" w:lineRule="exact"/>
        <w:ind w:left="0" w:leftChars="0" w:firstLine="600" w:firstLineChars="200"/>
        <w:jc w:val="left"/>
        <w:textAlignment w:val="auto"/>
        <w:rPr>
          <w:rFonts w:hint="eastAsia" w:ascii="仿宋_GB2312" w:hAnsi="仿宋_GB2312" w:eastAsia="仿宋_GB2312" w:cs="仿宋_GB2312"/>
          <w:b w:val="0"/>
          <w:bCs w:val="0"/>
          <w:kern w:val="2"/>
          <w:sz w:val="30"/>
          <w:szCs w:val="32"/>
          <w:lang w:val="en-US" w:eastAsia="zh-CN" w:bidi="ar-SA"/>
        </w:rPr>
      </w:pPr>
      <w:r>
        <w:rPr>
          <w:rFonts w:hint="eastAsia" w:ascii="仿宋_GB2312" w:hAnsi="仿宋_GB2312" w:eastAsia="仿宋_GB2312" w:cs="仿宋_GB2312"/>
          <w:b w:val="0"/>
          <w:bCs w:val="0"/>
          <w:kern w:val="2"/>
          <w:sz w:val="30"/>
          <w:szCs w:val="32"/>
          <w:lang w:val="en-US" w:eastAsia="zh-CN" w:bidi="ar-SA"/>
        </w:rPr>
        <w:t>3、数据收集整理：</w:t>
      </w:r>
    </w:p>
    <w:p>
      <w:pPr>
        <w:pageBreakBefore w:val="0"/>
        <w:numPr>
          <w:ilvl w:val="0"/>
          <w:numId w:val="0"/>
        </w:numPr>
        <w:kinsoku/>
        <w:wordWrap/>
        <w:overflowPunct/>
        <w:topLinePunct w:val="0"/>
        <w:autoSpaceDE/>
        <w:autoSpaceDN/>
        <w:bidi w:val="0"/>
        <w:spacing w:line="590" w:lineRule="exact"/>
        <w:ind w:left="0" w:leftChars="0" w:firstLine="600" w:firstLineChars="200"/>
        <w:jc w:val="left"/>
        <w:textAlignment w:val="auto"/>
        <w:rPr>
          <w:rFonts w:hint="eastAsia" w:ascii="仿宋_GB2312" w:hAnsi="仿宋_GB2312" w:eastAsia="仿宋_GB2312" w:cs="仿宋_GB2312"/>
          <w:b w:val="0"/>
          <w:bCs w:val="0"/>
          <w:kern w:val="2"/>
          <w:sz w:val="30"/>
          <w:szCs w:val="32"/>
          <w:lang w:val="en-US" w:eastAsia="zh-CN" w:bidi="ar-SA"/>
        </w:rPr>
      </w:pPr>
      <w:r>
        <w:rPr>
          <w:rFonts w:hint="eastAsia" w:ascii="仿宋_GB2312" w:hAnsi="仿宋_GB2312" w:eastAsia="仿宋_GB2312" w:cs="仿宋_GB2312"/>
          <w:b w:val="0"/>
          <w:bCs w:val="0"/>
          <w:kern w:val="2"/>
          <w:sz w:val="30"/>
          <w:szCs w:val="32"/>
          <w:lang w:val="en-US" w:eastAsia="zh-CN" w:bidi="ar-SA"/>
        </w:rPr>
        <w:t>围绕已拟定的“六项机制”与“安责险”两大评分考核关键指标，对年度评分所需数据进行统一收集与分类。按各设区市为单位，分别归集风险辨识清单、预警处置记录、隐患排查台账等“六项机制”过程数据，以及安责险投保保单、事故预防服务记录、理赔结案报告等“安责险”实施数据。同时，将两套体系的考核指标、评分细则、权重分配及计算公式进行系统梳理，分别汇编成《水利安全生产风险管控“六项机制”评分规则表》和《水利工程“安责险”实施效能评分规则表》，形成一套指导手册，为后续精准开展水利安全监管提供坚实依据。</w:t>
      </w:r>
    </w:p>
    <w:p>
      <w:pPr>
        <w:pageBreakBefore w:val="0"/>
        <w:numPr>
          <w:ilvl w:val="0"/>
          <w:numId w:val="0"/>
        </w:numPr>
        <w:kinsoku/>
        <w:wordWrap/>
        <w:overflowPunct/>
        <w:topLinePunct w:val="0"/>
        <w:autoSpaceDE/>
        <w:autoSpaceDN/>
        <w:bidi w:val="0"/>
        <w:spacing w:line="590" w:lineRule="exact"/>
        <w:ind w:left="0" w:leftChars="0" w:firstLine="600" w:firstLineChars="200"/>
        <w:jc w:val="left"/>
        <w:textAlignment w:val="auto"/>
        <w:rPr>
          <w:rFonts w:hint="eastAsia" w:ascii="仿宋_GB2312" w:hAnsi="仿宋_GB2312" w:eastAsia="仿宋_GB2312" w:cs="仿宋_GB2312"/>
          <w:b w:val="0"/>
          <w:bCs w:val="0"/>
          <w:kern w:val="2"/>
          <w:sz w:val="30"/>
          <w:szCs w:val="32"/>
          <w:lang w:val="en-US" w:eastAsia="zh-CN" w:bidi="ar-SA"/>
        </w:rPr>
      </w:pPr>
      <w:r>
        <w:rPr>
          <w:rFonts w:hint="eastAsia" w:ascii="仿宋_GB2312" w:hAnsi="仿宋_GB2312" w:eastAsia="仿宋_GB2312" w:cs="仿宋_GB2312"/>
          <w:b w:val="0"/>
          <w:bCs w:val="0"/>
          <w:kern w:val="2"/>
          <w:sz w:val="30"/>
          <w:szCs w:val="32"/>
          <w:lang w:val="en-US" w:eastAsia="zh-CN" w:bidi="ar-SA"/>
        </w:rPr>
        <w:t>4、年度评分清单编制：</w:t>
      </w:r>
    </w:p>
    <w:p>
      <w:pPr>
        <w:pageBreakBefore w:val="0"/>
        <w:numPr>
          <w:ilvl w:val="0"/>
          <w:numId w:val="0"/>
        </w:numPr>
        <w:kinsoku/>
        <w:wordWrap/>
        <w:overflowPunct/>
        <w:topLinePunct w:val="0"/>
        <w:autoSpaceDE/>
        <w:autoSpaceDN/>
        <w:bidi w:val="0"/>
        <w:spacing w:line="590" w:lineRule="exact"/>
        <w:ind w:left="0" w:leftChars="0" w:firstLine="600" w:firstLineChars="200"/>
        <w:jc w:val="left"/>
        <w:textAlignment w:val="auto"/>
        <w:rPr>
          <w:rFonts w:hint="eastAsia" w:ascii="仿宋_GB2312" w:hAnsi="仿宋_GB2312" w:eastAsia="仿宋_GB2312" w:cs="仿宋_GB2312"/>
          <w:b w:val="0"/>
          <w:bCs w:val="0"/>
          <w:kern w:val="2"/>
          <w:sz w:val="30"/>
          <w:szCs w:val="32"/>
          <w:lang w:val="en-US" w:eastAsia="zh-CN" w:bidi="ar-SA"/>
        </w:rPr>
      </w:pPr>
      <w:r>
        <w:rPr>
          <w:rFonts w:hint="eastAsia" w:ascii="仿宋_GB2312" w:hAnsi="仿宋_GB2312" w:eastAsia="仿宋_GB2312" w:cs="仿宋_GB2312"/>
          <w:b w:val="0"/>
          <w:bCs w:val="0"/>
          <w:kern w:val="2"/>
          <w:sz w:val="30"/>
          <w:szCs w:val="32"/>
          <w:lang w:val="en-US" w:eastAsia="zh-CN" w:bidi="ar-SA"/>
        </w:rPr>
        <w:t>编制《2026年度福建省各市水利安全监管年度评分清单》，清单将分板块清晰呈现各市在“六项机制”六大环节及“安责险”核心指标上的具体得分情况。同时，配套绘制雷达图、柱状图等可视化图表，直观展示各市在不同评分维度上的优势与短板，为后续精准督导、评先评优及政策优化提供科学依据，促进全省水利工程安全管理水平的整体提升。</w:t>
      </w:r>
    </w:p>
    <w:p>
      <w:pPr>
        <w:ind w:left="0" w:leftChars="0" w:firstLine="0" w:firstLineChars="0"/>
        <w:rPr>
          <w:rFonts w:hint="eastAsia" w:ascii="Times New Roman" w:eastAsia="仿宋_GB2312" w:cs="Times New Roman"/>
          <w:b/>
          <w:bCs/>
          <w:sz w:val="32"/>
          <w:szCs w:val="32"/>
          <w:lang w:val="en-US" w:eastAsia="zh-CN"/>
        </w:rPr>
      </w:pPr>
    </w:p>
    <w:p>
      <w:pPr>
        <w:ind w:left="0" w:leftChars="0" w:firstLine="0" w:firstLineChars="0"/>
        <w:rPr>
          <w:rFonts w:hint="eastAsia" w:ascii="Times New Roman" w:eastAsia="仿宋_GB2312" w:cs="Times New Roman"/>
          <w:b/>
          <w:bCs/>
          <w:sz w:val="32"/>
          <w:szCs w:val="32"/>
          <w:lang w:val="en-US" w:eastAsia="zh-CN"/>
        </w:rPr>
      </w:pPr>
    </w:p>
    <w:p>
      <w:pPr>
        <w:ind w:left="0" w:leftChars="0" w:firstLine="0" w:firstLineChars="0"/>
        <w:rPr>
          <w:rFonts w:hint="default" w:ascii="Times New Roman" w:hAnsi="Times New Roman" w:cs="Times New Roman"/>
          <w:b/>
          <w:bCs/>
          <w:sz w:val="32"/>
          <w:szCs w:val="32"/>
        </w:rPr>
        <w:sectPr>
          <w:pgSz w:w="11906" w:h="16838"/>
          <w:pgMar w:top="1440" w:right="1800" w:bottom="1440" w:left="1800" w:header="851" w:footer="992" w:gutter="0"/>
          <w:cols w:space="425" w:num="1"/>
          <w:docGrid w:type="lines" w:linePitch="312" w:charSpace="0"/>
        </w:sectPr>
      </w:pPr>
    </w:p>
    <w:p>
      <w:pPr>
        <w:ind w:left="0" w:leftChars="0" w:firstLine="0" w:firstLineChars="0"/>
        <w:rPr>
          <w:rFonts w:hint="default" w:ascii="Times New Roman" w:hAnsi="Times New Roman" w:eastAsia="宋体" w:cs="Times New Roman"/>
          <w:sz w:val="44"/>
          <w:szCs w:val="44"/>
          <w:lang w:val="en-US" w:eastAsia="zh-CN"/>
        </w:rPr>
      </w:pPr>
      <w:r>
        <w:rPr>
          <w:rFonts w:hint="default" w:ascii="Times New Roman" w:hAnsi="Times New Roman" w:cs="Times New Roman"/>
          <w:b/>
          <w:bCs/>
          <w:sz w:val="32"/>
          <w:szCs w:val="32"/>
        </w:rPr>
        <w:t>附件</w:t>
      </w:r>
      <w:r>
        <w:rPr>
          <w:rFonts w:hint="eastAsia" w:ascii="Times New Roman" w:cs="Times New Roman"/>
          <w:b/>
          <w:bCs/>
          <w:sz w:val="32"/>
          <w:szCs w:val="32"/>
          <w:lang w:val="en-US" w:eastAsia="zh-CN"/>
        </w:rPr>
        <w:t>4</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rPr>
        <w:t>面谈回执</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b/>
          <w:bCs/>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b/>
          <w:bCs/>
          <w:sz w:val="24"/>
          <w:szCs w:val="24"/>
          <w:lang w:val="en-US" w:eastAsia="zh-CN"/>
        </w:rPr>
        <w:t>一、</w:t>
      </w:r>
      <w:r>
        <w:rPr>
          <w:rFonts w:hint="default" w:ascii="Times New Roman" w:hAnsi="Times New Roman" w:cs="Times New Roman"/>
          <w:b/>
          <w:bCs/>
          <w:sz w:val="24"/>
          <w:szCs w:val="24"/>
          <w:lang w:val="en-US" w:eastAsia="zh-CN"/>
        </w:rPr>
        <w:t>报价</w:t>
      </w:r>
      <w:r>
        <w:rPr>
          <w:rFonts w:hint="default" w:ascii="Times New Roman" w:hAnsi="Times New Roman" w:eastAsia="宋体" w:cs="Times New Roman"/>
          <w:b/>
          <w:bCs/>
          <w:sz w:val="24"/>
          <w:szCs w:val="24"/>
          <w:lang w:val="en-US" w:eastAsia="zh-CN"/>
        </w:rPr>
        <w:t>供应商信息</w:t>
      </w:r>
    </w:p>
    <w:tbl>
      <w:tblPr>
        <w:tblStyle w:val="8"/>
        <w:tblW w:w="88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2105"/>
        <w:gridCol w:w="67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trPr>
        <w:tc>
          <w:tcPr>
            <w:tcW w:w="2105"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供应商名称：</w:t>
            </w:r>
          </w:p>
        </w:tc>
        <w:tc>
          <w:tcPr>
            <w:tcW w:w="6754"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98" w:hRule="atLeast"/>
        </w:trPr>
        <w:tc>
          <w:tcPr>
            <w:tcW w:w="2105"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联系人：</w:t>
            </w:r>
          </w:p>
        </w:tc>
        <w:tc>
          <w:tcPr>
            <w:tcW w:w="6754"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8" w:hRule="atLeast"/>
        </w:trPr>
        <w:tc>
          <w:tcPr>
            <w:tcW w:w="2105"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联系电话：</w:t>
            </w:r>
          </w:p>
        </w:tc>
        <w:tc>
          <w:tcPr>
            <w:tcW w:w="6754"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sz w:val="24"/>
                <w:szCs w:val="24"/>
              </w:rPr>
            </w:pPr>
          </w:p>
        </w:tc>
      </w:tr>
    </w:tbl>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b/>
          <w:bCs/>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b/>
          <w:bCs/>
          <w:sz w:val="24"/>
          <w:szCs w:val="24"/>
          <w:lang w:val="en-US" w:eastAsia="zh-CN"/>
        </w:rPr>
        <w:t>二、面谈核心信息</w:t>
      </w:r>
    </w:p>
    <w:tbl>
      <w:tblPr>
        <w:tblStyle w:val="8"/>
        <w:tblW w:w="88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2090"/>
        <w:gridCol w:w="67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3" w:hRule="atLeast"/>
        </w:trPr>
        <w:tc>
          <w:tcPr>
            <w:tcW w:w="2090"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面谈主题</w:t>
            </w:r>
          </w:p>
        </w:tc>
        <w:tc>
          <w:tcPr>
            <w:tcW w:w="6789"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投标前需求对接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623" w:hRule="atLeast"/>
        </w:trPr>
        <w:tc>
          <w:tcPr>
            <w:tcW w:w="2090"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面谈时间</w:t>
            </w:r>
          </w:p>
        </w:tc>
        <w:tc>
          <w:tcPr>
            <w:tcW w:w="6789"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________年______月______日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623" w:hRule="atLeast"/>
        </w:trPr>
        <w:tc>
          <w:tcPr>
            <w:tcW w:w="2090"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面谈地点</w:t>
            </w:r>
          </w:p>
        </w:tc>
        <w:tc>
          <w:tcPr>
            <w:tcW w:w="6789"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z w:val="24"/>
                <w:szCs w:val="24"/>
                <w:lang w:val="en-US"/>
              </w:rPr>
            </w:pPr>
            <w:r>
              <w:rPr>
                <w:rFonts w:hint="default" w:ascii="Times New Roman" w:hAnsi="Times New Roman" w:cs="Times New Roman"/>
                <w:sz w:val="24"/>
                <w:szCs w:val="24"/>
                <w:lang w:val="en-US" w:eastAsia="zh-CN"/>
              </w:rPr>
              <w:t>福建省水利厅</w:t>
            </w:r>
          </w:p>
        </w:tc>
      </w:tr>
    </w:tbl>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b/>
          <w:bCs/>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eastAsia="宋体" w:cs="Times New Roman"/>
          <w:b/>
          <w:bCs/>
          <w:sz w:val="24"/>
          <w:szCs w:val="24"/>
          <w:lang w:val="en-US" w:eastAsia="zh-CN"/>
        </w:rPr>
        <w:t>三、确认事项（供应商勾选确认）</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 w:val="24"/>
          <w:szCs w:val="24"/>
          <w:lang w:val="en-US" w:eastAsia="zh-CN"/>
        </w:rPr>
      </w:pPr>
      <w:r>
        <w:rPr>
          <w:rFonts w:hint="default" w:ascii="Times New Roman" w:hAnsi="Times New Roman" w:cs="Times New Roman"/>
          <w:sz w:val="24"/>
          <w:szCs w:val="24"/>
          <w:lang w:val="en-US" w:eastAsia="zh-CN"/>
        </w:rPr>
        <w:t>□</w:t>
      </w: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b/>
          <w:bCs/>
          <w:sz w:val="24"/>
          <w:szCs w:val="24"/>
          <w:lang w:val="en-US" w:eastAsia="zh-CN"/>
        </w:rPr>
        <w:t>已详悉项目核心需求、服务范围、技术标准及考核要求</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明确投标文件编制规范、提交截止时间及评审关键节点</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就项目实施细节、服务响应机制达成初步共识（以合同为准）</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 w:val="24"/>
          <w:szCs w:val="24"/>
          <w:lang w:val="en-US" w:eastAsia="zh-CN"/>
        </w:rPr>
      </w:pPr>
      <w:r>
        <w:rPr>
          <w:rFonts w:hint="default" w:ascii="Times New Roman" w:hAnsi="Times New Roman" w:cs="Times New Roman"/>
          <w:sz w:val="24"/>
          <w:szCs w:val="24"/>
          <w:lang w:val="en-US" w:eastAsia="zh-CN"/>
        </w:rPr>
        <w:t>□</w:t>
      </w:r>
      <w:r>
        <w:rPr>
          <w:rFonts w:hint="default" w:ascii="Times New Roman" w:hAnsi="Times New Roman" w:eastAsia="宋体" w:cs="Times New Roman"/>
          <w:sz w:val="24"/>
          <w:szCs w:val="24"/>
          <w:lang w:val="en-US" w:eastAsia="zh-CN"/>
        </w:rPr>
        <w:t xml:space="preserve"> 承诺基于面谈信息编制投标文件，确保报价合理、响应全面</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eastAsia="宋体" w:cs="Times New Roman"/>
          <w:b/>
          <w:bCs/>
          <w:sz w:val="24"/>
          <w:szCs w:val="24"/>
          <w:lang w:val="en-US" w:eastAsia="zh-CN"/>
        </w:rPr>
        <w:t>四、双方确认</w:t>
      </w:r>
    </w:p>
    <w:tbl>
      <w:tblPr>
        <w:tblStyle w:val="8"/>
        <w:tblW w:w="89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5345"/>
        <w:gridCol w:w="35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8" w:hRule="atLeast"/>
        </w:trPr>
        <w:tc>
          <w:tcPr>
            <w:tcW w:w="5345"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供应商方</w:t>
            </w:r>
          </w:p>
        </w:tc>
        <w:tc>
          <w:tcPr>
            <w:tcW w:w="3594"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我方接收方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658" w:hRule="atLeast"/>
        </w:trPr>
        <w:tc>
          <w:tcPr>
            <w:tcW w:w="5345"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法定代表人/授权代表（签字）：</w:t>
            </w:r>
          </w:p>
        </w:tc>
        <w:tc>
          <w:tcPr>
            <w:tcW w:w="3594"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接收人（签字）：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668" w:hRule="atLeast"/>
        </w:trPr>
        <w:tc>
          <w:tcPr>
            <w:tcW w:w="5345"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单位盖章：</w:t>
            </w:r>
          </w:p>
        </w:tc>
        <w:tc>
          <w:tcPr>
            <w:tcW w:w="3594"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日期：_______年_____月_____日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697" w:hRule="atLeast"/>
        </w:trPr>
        <w:tc>
          <w:tcPr>
            <w:tcW w:w="5345"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日期：________年_____月_____日</w:t>
            </w:r>
          </w:p>
        </w:tc>
        <w:tc>
          <w:tcPr>
            <w:tcW w:w="3594"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z w:val="24"/>
                <w:szCs w:val="24"/>
              </w:rPr>
            </w:pPr>
          </w:p>
        </w:tc>
      </w:tr>
    </w:tbl>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注：1. 本回执一式两份，双方各执一份，签字盖章后生效；2. 勾选框请用 “√” 填写，填写内容需清晰可辨；3. 未尽事宜以双方书面约定为准。</w:t>
      </w:r>
    </w:p>
    <w:p>
      <w:pPr>
        <w:rPr>
          <w:rFonts w:hint="default" w:ascii="Times New Roman" w:hAnsi="Times New Roman" w:eastAsia="宋体" w:cs="Times New Roman"/>
          <w:sz w:val="24"/>
          <w:szCs w:val="24"/>
        </w:rPr>
      </w:pPr>
    </w:p>
    <w:p>
      <w:pPr>
        <w:ind w:firstLine="640"/>
        <w:rPr>
          <w:rFonts w:hint="default" w:ascii="Times New Roman" w:hAnsi="Times New Roman" w:eastAsia="仿宋_GB2312"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960" w:rightChars="400" w:firstLine="0" w:firstLineChars="0"/>
        <w:jc w:val="both"/>
        <w:textAlignment w:val="auto"/>
        <w:rPr>
          <w:rFonts w:hint="eastAsia" w:ascii="Times New Roman" w:hAnsi="Times New Roman" w:eastAsia="仿宋_GB2312" w:cs="Times New Roman"/>
          <w:color w:val="000000"/>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80"/>
      </w:pPr>
      <w:r>
        <w:separator/>
      </w:r>
    </w:p>
  </w:endnote>
  <w:endnote w:type="continuationSeparator" w:id="1">
    <w:p>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480"/>
      </w:pPr>
      <w:r>
        <w:separator/>
      </w:r>
    </w:p>
  </w:footnote>
  <w:footnote w:type="continuationSeparator" w:id="1">
    <w:p>
      <w:pPr>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99732F"/>
    <w:multiLevelType w:val="multilevel"/>
    <w:tmpl w:val="9A99732F"/>
    <w:lvl w:ilvl="0" w:tentative="0">
      <w:start w:val="1"/>
      <w:numFmt w:val="chineseCountingThousand"/>
      <w:pStyle w:val="2"/>
      <w:suff w:val="space"/>
      <w:lvlText w:val="%1、"/>
      <w:lvlJc w:val="left"/>
      <w:pPr>
        <w:ind w:left="0" w:firstLine="0"/>
      </w:pPr>
      <w:rPr>
        <w:rFonts w:hint="eastAsia" w:ascii="宋体" w:hAnsi="宋体" w:eastAsia="宋体" w:cs="宋体"/>
      </w:rPr>
    </w:lvl>
    <w:lvl w:ilvl="1" w:tentative="0">
      <w:start w:val="1"/>
      <w:numFmt w:val="decimal"/>
      <w:pStyle w:val="3"/>
      <w:isLgl/>
      <w:suff w:val="space"/>
      <w:lvlText w:val="%1.%2"/>
      <w:lvlJc w:val="left"/>
      <w:pPr>
        <w:ind w:left="0" w:firstLine="0"/>
      </w:pPr>
      <w:rPr>
        <w:rFonts w:hint="eastAsia" w:ascii="Arial" w:hAnsi="Arial" w:eastAsia="宋体"/>
      </w:rPr>
    </w:lvl>
    <w:lvl w:ilvl="2" w:tentative="0">
      <w:start w:val="1"/>
      <w:numFmt w:val="decimal"/>
      <w:isLgl/>
      <w:suff w:val="space"/>
      <w:lvlText w:val="%1.%2.%3"/>
      <w:lvlJc w:val="left"/>
      <w:pPr>
        <w:ind w:left="0" w:firstLine="0"/>
      </w:pPr>
      <w:rPr>
        <w:rFonts w:hint="eastAsia" w:ascii="Arial" w:hAnsi="Arial" w:eastAsia="宋体"/>
      </w:rPr>
    </w:lvl>
    <w:lvl w:ilvl="3" w:tentative="0">
      <w:start w:val="1"/>
      <w:numFmt w:val="decimal"/>
      <w:isLgl/>
      <w:suff w:val="space"/>
      <w:lvlText w:val="%1.%2.%3.%4"/>
      <w:lvlJc w:val="left"/>
      <w:pPr>
        <w:ind w:left="0" w:firstLine="0"/>
      </w:pPr>
      <w:rPr>
        <w:rFonts w:hint="eastAsia"/>
      </w:rPr>
    </w:lvl>
    <w:lvl w:ilvl="4" w:tentative="0">
      <w:start w:val="1"/>
      <w:numFmt w:val="decimal"/>
      <w:isLgl/>
      <w:suff w:val="space"/>
      <w:lvlText w:val="%1.%2.%3.%4.%5"/>
      <w:lvlJc w:val="left"/>
      <w:pPr>
        <w:ind w:left="0" w:firstLine="0"/>
      </w:pPr>
      <w:rPr>
        <w:rFonts w:hint="eastAsia"/>
      </w:rPr>
    </w:lvl>
    <w:lvl w:ilvl="5" w:tentative="0">
      <w:start w:val="1"/>
      <w:numFmt w:val="decimal"/>
      <w:isLgl/>
      <w:suff w:val="space"/>
      <w:lvlText w:val="%1.%2.%3.%4.%5.%6"/>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decimal"/>
      <w:lvlRestart w:val="1"/>
      <w:isLgl/>
      <w:suff w:val="nothing"/>
      <w:lvlText w:val="图%1-%8  "/>
      <w:lvlJc w:val="left"/>
      <w:pPr>
        <w:ind w:left="0" w:firstLine="0"/>
      </w:pPr>
      <w:rPr>
        <w:rFonts w:hint="eastAsia"/>
        <w:color w:val="auto"/>
      </w:rPr>
    </w:lvl>
    <w:lvl w:ilvl="8" w:tentative="0">
      <w:start w:val="1"/>
      <w:numFmt w:val="decimal"/>
      <w:lvlRestart w:val="1"/>
      <w:isLgl/>
      <w:suff w:val="nothing"/>
      <w:lvlText w:val="表%1-%9  "/>
      <w:lvlJc w:val="left"/>
      <w:pPr>
        <w:ind w:left="0" w:firstLine="0"/>
      </w:pPr>
      <w:rPr>
        <w:rFonts w:hint="eastAsia"/>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A7B6759"/>
    <w:rsid w:val="00307A95"/>
    <w:rsid w:val="00472568"/>
    <w:rsid w:val="01210A8F"/>
    <w:rsid w:val="01CD4635"/>
    <w:rsid w:val="02A227A1"/>
    <w:rsid w:val="02B640B5"/>
    <w:rsid w:val="03E2379C"/>
    <w:rsid w:val="041651F4"/>
    <w:rsid w:val="043B2EAD"/>
    <w:rsid w:val="04D56E5D"/>
    <w:rsid w:val="057D2D9B"/>
    <w:rsid w:val="05ED1BE1"/>
    <w:rsid w:val="05F15F19"/>
    <w:rsid w:val="063D3B96"/>
    <w:rsid w:val="064E336B"/>
    <w:rsid w:val="06764670"/>
    <w:rsid w:val="06770305"/>
    <w:rsid w:val="069772A3"/>
    <w:rsid w:val="06AD639E"/>
    <w:rsid w:val="070F28B2"/>
    <w:rsid w:val="07520C39"/>
    <w:rsid w:val="07634BF4"/>
    <w:rsid w:val="081163FE"/>
    <w:rsid w:val="082840D3"/>
    <w:rsid w:val="08C25207"/>
    <w:rsid w:val="08D134AC"/>
    <w:rsid w:val="08E21B49"/>
    <w:rsid w:val="0901569E"/>
    <w:rsid w:val="09232AE9"/>
    <w:rsid w:val="0A724DA4"/>
    <w:rsid w:val="0C104C1F"/>
    <w:rsid w:val="0D020A0B"/>
    <w:rsid w:val="0D2070E4"/>
    <w:rsid w:val="0D29243C"/>
    <w:rsid w:val="0E2A16C1"/>
    <w:rsid w:val="0EDB317D"/>
    <w:rsid w:val="0F336721"/>
    <w:rsid w:val="10080077"/>
    <w:rsid w:val="10665B03"/>
    <w:rsid w:val="11047F88"/>
    <w:rsid w:val="132D4308"/>
    <w:rsid w:val="13983E78"/>
    <w:rsid w:val="14814703"/>
    <w:rsid w:val="14AD5701"/>
    <w:rsid w:val="14F63574"/>
    <w:rsid w:val="153A34F5"/>
    <w:rsid w:val="156E719E"/>
    <w:rsid w:val="15747FCD"/>
    <w:rsid w:val="160475A2"/>
    <w:rsid w:val="16111CE9"/>
    <w:rsid w:val="16842F02"/>
    <w:rsid w:val="16B70AB9"/>
    <w:rsid w:val="1776627E"/>
    <w:rsid w:val="18D86AC4"/>
    <w:rsid w:val="1A3A0E9F"/>
    <w:rsid w:val="1AA94BBC"/>
    <w:rsid w:val="1B0B3181"/>
    <w:rsid w:val="1B6D3826"/>
    <w:rsid w:val="1BB21DC7"/>
    <w:rsid w:val="1BE964F4"/>
    <w:rsid w:val="1C3C67D7"/>
    <w:rsid w:val="1DA578BD"/>
    <w:rsid w:val="1DBC66D4"/>
    <w:rsid w:val="1DC37D43"/>
    <w:rsid w:val="1DD70FCF"/>
    <w:rsid w:val="1E733517"/>
    <w:rsid w:val="1E945864"/>
    <w:rsid w:val="1EC726BE"/>
    <w:rsid w:val="1F100D66"/>
    <w:rsid w:val="1FBB7EFD"/>
    <w:rsid w:val="20D44015"/>
    <w:rsid w:val="217F6E19"/>
    <w:rsid w:val="21CB5418"/>
    <w:rsid w:val="22133E2E"/>
    <w:rsid w:val="232C54A8"/>
    <w:rsid w:val="235D4796"/>
    <w:rsid w:val="24655E8E"/>
    <w:rsid w:val="25180974"/>
    <w:rsid w:val="25EC3863"/>
    <w:rsid w:val="26714827"/>
    <w:rsid w:val="26993D37"/>
    <w:rsid w:val="26D94133"/>
    <w:rsid w:val="278A3680"/>
    <w:rsid w:val="27BB1438"/>
    <w:rsid w:val="280A4768"/>
    <w:rsid w:val="284E28FF"/>
    <w:rsid w:val="28754330"/>
    <w:rsid w:val="28CB3F50"/>
    <w:rsid w:val="29406294"/>
    <w:rsid w:val="297E7214"/>
    <w:rsid w:val="29FB0865"/>
    <w:rsid w:val="29FD45DD"/>
    <w:rsid w:val="2A21557C"/>
    <w:rsid w:val="2A614B6C"/>
    <w:rsid w:val="2AEF03C9"/>
    <w:rsid w:val="2B25203D"/>
    <w:rsid w:val="2B3E094E"/>
    <w:rsid w:val="2C09331F"/>
    <w:rsid w:val="2C131E96"/>
    <w:rsid w:val="2C7217DF"/>
    <w:rsid w:val="2CE54F10"/>
    <w:rsid w:val="2E955D48"/>
    <w:rsid w:val="2ED40002"/>
    <w:rsid w:val="2F21249A"/>
    <w:rsid w:val="2F824AA0"/>
    <w:rsid w:val="2F8E659F"/>
    <w:rsid w:val="2FAF45CB"/>
    <w:rsid w:val="2FD517C0"/>
    <w:rsid w:val="2FF41FDE"/>
    <w:rsid w:val="30961EF6"/>
    <w:rsid w:val="30BE2F3E"/>
    <w:rsid w:val="321E1594"/>
    <w:rsid w:val="32B11F30"/>
    <w:rsid w:val="330E33B7"/>
    <w:rsid w:val="33557D62"/>
    <w:rsid w:val="33DE49B1"/>
    <w:rsid w:val="344277BC"/>
    <w:rsid w:val="3463198D"/>
    <w:rsid w:val="34775E1C"/>
    <w:rsid w:val="34993154"/>
    <w:rsid w:val="34E82FA8"/>
    <w:rsid w:val="34FF745B"/>
    <w:rsid w:val="3524513E"/>
    <w:rsid w:val="35FE5964"/>
    <w:rsid w:val="37CF68BD"/>
    <w:rsid w:val="37D7646D"/>
    <w:rsid w:val="38EB312D"/>
    <w:rsid w:val="391F106E"/>
    <w:rsid w:val="396F26D5"/>
    <w:rsid w:val="39BF540B"/>
    <w:rsid w:val="39CB2002"/>
    <w:rsid w:val="3A8D72B7"/>
    <w:rsid w:val="3B104C23"/>
    <w:rsid w:val="3B1C3C75"/>
    <w:rsid w:val="3B7E2844"/>
    <w:rsid w:val="3BF5780A"/>
    <w:rsid w:val="3E6246F2"/>
    <w:rsid w:val="3E8804C1"/>
    <w:rsid w:val="3F2301EA"/>
    <w:rsid w:val="3F952DA4"/>
    <w:rsid w:val="3FEE25A6"/>
    <w:rsid w:val="401364B0"/>
    <w:rsid w:val="404C6643"/>
    <w:rsid w:val="4094630B"/>
    <w:rsid w:val="40B1793A"/>
    <w:rsid w:val="40B72191"/>
    <w:rsid w:val="40BC5A0A"/>
    <w:rsid w:val="41013A16"/>
    <w:rsid w:val="41055DF9"/>
    <w:rsid w:val="418F1B67"/>
    <w:rsid w:val="41A75102"/>
    <w:rsid w:val="42144B18"/>
    <w:rsid w:val="42857B53"/>
    <w:rsid w:val="42A258CA"/>
    <w:rsid w:val="44ED35CE"/>
    <w:rsid w:val="45135A97"/>
    <w:rsid w:val="4561381A"/>
    <w:rsid w:val="46AC5AA6"/>
    <w:rsid w:val="474B4782"/>
    <w:rsid w:val="4779309D"/>
    <w:rsid w:val="47986858"/>
    <w:rsid w:val="47F22E4F"/>
    <w:rsid w:val="484A67E7"/>
    <w:rsid w:val="485B09F4"/>
    <w:rsid w:val="488E2B78"/>
    <w:rsid w:val="48C400DF"/>
    <w:rsid w:val="48EB7FCA"/>
    <w:rsid w:val="48F21359"/>
    <w:rsid w:val="4963096F"/>
    <w:rsid w:val="4A0A4AE4"/>
    <w:rsid w:val="4A42789F"/>
    <w:rsid w:val="4A871F75"/>
    <w:rsid w:val="4B7E5126"/>
    <w:rsid w:val="4BD44D46"/>
    <w:rsid w:val="4C043151"/>
    <w:rsid w:val="4C7868BB"/>
    <w:rsid w:val="4D830C29"/>
    <w:rsid w:val="4D8A0CB9"/>
    <w:rsid w:val="4DA30103"/>
    <w:rsid w:val="4E2D35F4"/>
    <w:rsid w:val="4EF86F9D"/>
    <w:rsid w:val="4F344CB1"/>
    <w:rsid w:val="4F4C72E9"/>
    <w:rsid w:val="4FB54E8E"/>
    <w:rsid w:val="4FE92144"/>
    <w:rsid w:val="50304B3C"/>
    <w:rsid w:val="50F47C38"/>
    <w:rsid w:val="512A18AC"/>
    <w:rsid w:val="527032EE"/>
    <w:rsid w:val="5305327E"/>
    <w:rsid w:val="531445C2"/>
    <w:rsid w:val="5334256E"/>
    <w:rsid w:val="53413EEB"/>
    <w:rsid w:val="53446E39"/>
    <w:rsid w:val="53CF08F5"/>
    <w:rsid w:val="5495703C"/>
    <w:rsid w:val="5644119E"/>
    <w:rsid w:val="56BC15CD"/>
    <w:rsid w:val="576B172F"/>
    <w:rsid w:val="57DD4F82"/>
    <w:rsid w:val="580B68A9"/>
    <w:rsid w:val="587B479B"/>
    <w:rsid w:val="59091DA7"/>
    <w:rsid w:val="59D03840"/>
    <w:rsid w:val="5AB521E6"/>
    <w:rsid w:val="5B922527"/>
    <w:rsid w:val="5BC76675"/>
    <w:rsid w:val="5BF5682E"/>
    <w:rsid w:val="5C5F52A8"/>
    <w:rsid w:val="5DB9023F"/>
    <w:rsid w:val="5DBD12C2"/>
    <w:rsid w:val="5E244E0E"/>
    <w:rsid w:val="5E653F23"/>
    <w:rsid w:val="5E8643AB"/>
    <w:rsid w:val="5F304A71"/>
    <w:rsid w:val="5F305E02"/>
    <w:rsid w:val="5F553840"/>
    <w:rsid w:val="5F781A34"/>
    <w:rsid w:val="5FAF36A8"/>
    <w:rsid w:val="5FE70674"/>
    <w:rsid w:val="5FE80D33"/>
    <w:rsid w:val="5FFF5EA0"/>
    <w:rsid w:val="60033159"/>
    <w:rsid w:val="60252F1B"/>
    <w:rsid w:val="6038505A"/>
    <w:rsid w:val="60420A89"/>
    <w:rsid w:val="60DB227B"/>
    <w:rsid w:val="60DF1CFE"/>
    <w:rsid w:val="616D55C9"/>
    <w:rsid w:val="616F3EC5"/>
    <w:rsid w:val="61F03E74"/>
    <w:rsid w:val="62140B89"/>
    <w:rsid w:val="6390559E"/>
    <w:rsid w:val="63DC07E4"/>
    <w:rsid w:val="642A77A1"/>
    <w:rsid w:val="66091638"/>
    <w:rsid w:val="6686712D"/>
    <w:rsid w:val="67C1041C"/>
    <w:rsid w:val="688356D2"/>
    <w:rsid w:val="68880F3A"/>
    <w:rsid w:val="68DA0FE2"/>
    <w:rsid w:val="6A3E6F26"/>
    <w:rsid w:val="6A7B6759"/>
    <w:rsid w:val="6ADC678A"/>
    <w:rsid w:val="6B2506DA"/>
    <w:rsid w:val="6B8579B3"/>
    <w:rsid w:val="6B8C6F8A"/>
    <w:rsid w:val="6CDC7AA6"/>
    <w:rsid w:val="6DB91CB0"/>
    <w:rsid w:val="6DF901E4"/>
    <w:rsid w:val="6E0B6B0F"/>
    <w:rsid w:val="6E8727B5"/>
    <w:rsid w:val="6FB67594"/>
    <w:rsid w:val="704E4817"/>
    <w:rsid w:val="706B5E85"/>
    <w:rsid w:val="7075449A"/>
    <w:rsid w:val="70A82D32"/>
    <w:rsid w:val="70B14DA6"/>
    <w:rsid w:val="70ED18BA"/>
    <w:rsid w:val="71463740"/>
    <w:rsid w:val="71DC40A5"/>
    <w:rsid w:val="72220F73"/>
    <w:rsid w:val="726E0FAF"/>
    <w:rsid w:val="735314CD"/>
    <w:rsid w:val="73591E51"/>
    <w:rsid w:val="73DD6B53"/>
    <w:rsid w:val="7438561A"/>
    <w:rsid w:val="74534AF2"/>
    <w:rsid w:val="749B1FF5"/>
    <w:rsid w:val="74FC6F38"/>
    <w:rsid w:val="750000AA"/>
    <w:rsid w:val="759E357A"/>
    <w:rsid w:val="765B1A3C"/>
    <w:rsid w:val="76C21ABB"/>
    <w:rsid w:val="77292B91"/>
    <w:rsid w:val="7782124A"/>
    <w:rsid w:val="77935205"/>
    <w:rsid w:val="77E7237B"/>
    <w:rsid w:val="78947487"/>
    <w:rsid w:val="78D14C85"/>
    <w:rsid w:val="7953020F"/>
    <w:rsid w:val="7A306423"/>
    <w:rsid w:val="7A6D61E2"/>
    <w:rsid w:val="7A7D1546"/>
    <w:rsid w:val="7AC21FB4"/>
    <w:rsid w:val="7B6E3FBF"/>
    <w:rsid w:val="7B9D48A5"/>
    <w:rsid w:val="7C1645EB"/>
    <w:rsid w:val="7C267368"/>
    <w:rsid w:val="7C727ADF"/>
    <w:rsid w:val="7CC4115F"/>
    <w:rsid w:val="7DDD0307"/>
    <w:rsid w:val="7FB623D9"/>
    <w:rsid w:val="7FC57FC7"/>
    <w:rsid w:val="7FC911BC"/>
    <w:rsid w:val="7FD839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200" w:firstLineChars="200"/>
      <w:jc w:val="both"/>
    </w:pPr>
    <w:rPr>
      <w:rFonts w:ascii="宋体" w:hAnsi="Times New Roman" w:eastAsia="宋体" w:cs="Times New Roman"/>
      <w:kern w:val="2"/>
      <w:sz w:val="24"/>
      <w:szCs w:val="24"/>
      <w:lang w:val="en-US" w:eastAsia="zh-CN" w:bidi="ar-SA"/>
    </w:rPr>
  </w:style>
  <w:style w:type="paragraph" w:styleId="2">
    <w:name w:val="heading 1"/>
    <w:basedOn w:val="1"/>
    <w:next w:val="1"/>
    <w:qFormat/>
    <w:uiPriority w:val="0"/>
    <w:pPr>
      <w:keepNext/>
      <w:keepLines/>
      <w:numPr>
        <w:ilvl w:val="0"/>
        <w:numId w:val="1"/>
      </w:numPr>
      <w:adjustRightInd w:val="0"/>
      <w:snapToGrid w:val="0"/>
      <w:spacing w:before="360" w:after="160"/>
      <w:ind w:firstLineChars="0"/>
      <w:outlineLvl w:val="0"/>
    </w:pPr>
    <w:rPr>
      <w:rFonts w:ascii="Arial" w:hAnsi="Arial"/>
      <w:b/>
      <w:kern w:val="44"/>
      <w:sz w:val="32"/>
      <w:szCs w:val="21"/>
    </w:rPr>
  </w:style>
  <w:style w:type="paragraph" w:styleId="3">
    <w:name w:val="heading 2"/>
    <w:basedOn w:val="1"/>
    <w:next w:val="1"/>
    <w:qFormat/>
    <w:uiPriority w:val="0"/>
    <w:pPr>
      <w:keepNext/>
      <w:keepLines/>
      <w:numPr>
        <w:ilvl w:val="1"/>
        <w:numId w:val="1"/>
      </w:numPr>
      <w:adjustRightInd w:val="0"/>
      <w:snapToGrid w:val="0"/>
      <w:spacing w:before="360" w:after="120"/>
      <w:ind w:firstLineChars="0"/>
      <w:outlineLvl w:val="1"/>
    </w:pPr>
    <w:rPr>
      <w:rFonts w:ascii="Arial" w:hAnsi="Arial"/>
      <w:b/>
      <w:bCs/>
      <w:sz w:val="30"/>
      <w:szCs w:val="32"/>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ody Text"/>
    <w:basedOn w:val="1"/>
    <w:next w:val="1"/>
    <w:qFormat/>
    <w:uiPriority w:val="99"/>
    <w:pPr>
      <w:spacing w:after="120"/>
    </w:pPr>
  </w:style>
  <w:style w:type="paragraph" w:styleId="6">
    <w:name w:val="footer"/>
    <w:basedOn w:val="1"/>
    <w:qFormat/>
    <w:uiPriority w:val="0"/>
    <w:pPr>
      <w:tabs>
        <w:tab w:val="center" w:pos="4153"/>
        <w:tab w:val="right" w:pos="8306"/>
      </w:tabs>
      <w:snapToGrid w:val="0"/>
      <w:jc w:val="left"/>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0">
    <w:name w:val="Strong"/>
    <w:basedOn w:val="9"/>
    <w:qFormat/>
    <w:uiPriority w:val="0"/>
    <w:rPr>
      <w:b/>
    </w:rPr>
  </w:style>
  <w:style w:type="paragraph" w:styleId="11">
    <w:name w:val="List Paragraph"/>
    <w:basedOn w:val="1"/>
    <w:qFormat/>
    <w:uiPriority w:val="34"/>
    <w:pPr>
      <w:ind w:firstLine="42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8069</Words>
  <Characters>8255</Characters>
  <Lines>0</Lines>
  <Paragraphs>0</Paragraphs>
  <TotalTime>60</TotalTime>
  <ScaleCrop>false</ScaleCrop>
  <LinksUpToDate>false</LinksUpToDate>
  <CharactersWithSpaces>8298</CharactersWithSpaces>
  <Application>WPS Office_11.8.2.10251_F1E327BC-269C-435d-A152-05C5408002CA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2026-05-25T16:59:00Z</dcterms:created>
  <dc:creator>侯江垄</dc:creator>
  <cp:lastModifiedBy>尤宇峰</cp:lastModifiedBy>
  <cp:lastPrinted>2026-08-25T17:28:00Z</cp:lastPrinted>
  <dcterms:modified xsi:type="dcterms:W3CDTF">2026-08-25T17:56:43Z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2052-11.8.2.10251</vt:lpwstr>
  </property>
  <property fmtid="{D5CDD505-2E9C-101B-9397-08002B2CF9AE}" pid="3" name="ICV">
    <vt:lpwstr>50F35ABEBCA348C0851E538860B45A94_13</vt:lpwstr>
  </property>
  <property fmtid="{D5CDD505-2E9C-101B-9397-08002B2CF9AE}" pid="4" name="KSOTemplateDocerSaveRecord">
    <vt:lpwstr>eyJoZGlkIjoiNDUzZjQwODUwMGZiMDQ1MWQ0NmJmNTg1MmE3NzdjNDQiLCJ1c2VySWQiOiIyNDc2MzAwNzUifQ==</vt:lpwstr>
  </property>
</Properties>
</file>