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全省小型水库水系连接图层及幸福河湖建设项目图层制作等服务内容及要求</w:t>
      </w:r>
    </w:p>
    <w:p/>
    <w:p>
      <w:pPr>
        <w:ind w:firstLine="640"/>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为丰富“水利一张图”的图层数据，进一步夯实水库运行调度、河湖长制及幸</w:t>
      </w:r>
      <w:bookmarkStart w:id="1" w:name="_GoBack"/>
      <w:bookmarkEnd w:id="1"/>
      <w:r>
        <w:rPr>
          <w:rFonts w:hint="eastAsia" w:ascii="仿宋_GB2312" w:hAnsi="仿宋_GB2312" w:eastAsia="仿宋_GB2312" w:cs="仿宋_GB2312"/>
          <w:sz w:val="32"/>
          <w:szCs w:val="32"/>
        </w:rPr>
        <w:t>福河湖项目建设的基础数据，现采购全省小型水库水系连接图层及幸福河湖建设项目图层制作服务，服务内容及要求如下：</w:t>
      </w:r>
    </w:p>
    <w:p>
      <w:pPr>
        <w:pStyle w:val="2"/>
        <w:numPr>
          <w:ilvl w:val="0"/>
          <w:numId w:val="4"/>
        </w:numPr>
        <w:ind w:firstLineChars="0"/>
        <w:rPr>
          <w:rFonts w:hint="eastAsia"/>
        </w:rPr>
      </w:pPr>
      <w:r>
        <w:rPr>
          <w:rFonts w:hint="eastAsia"/>
        </w:rPr>
        <w:t>服务内容及要求</w:t>
      </w:r>
    </w:p>
    <w:p>
      <w:pPr>
        <w:pStyle w:val="3"/>
        <w:rPr>
          <w:rFonts w:hint="eastAsia"/>
        </w:rPr>
      </w:pPr>
      <w:r>
        <w:rPr>
          <w:rFonts w:hint="eastAsia"/>
        </w:rPr>
        <w:t>全省水库溢洪道矢量化要求</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依托国家公共地理信息服务平台天地图最新服务及DEM等数据作为底图，在优于1:5000比例尺精度下，以全省</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486个</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以实际工程量为准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水库为基准，对溢洪道进行空间矢量化（无法矢量化的需要提供说明），形成面要素图层。同步开展数据建库，属性字段包括但不限于水库编码、水库名称、库型、溢洪道分类（正槽溢洪道、侧槽溢洪道、其他）、所属流域、所属行政区划。数据成果按照《水利一张图空间信息服务规范》，在水利一张图系统进行发布。</w:t>
      </w:r>
    </w:p>
    <w:p>
      <w:pPr>
        <w:pStyle w:val="3"/>
        <w:rPr>
          <w:rFonts w:hint="eastAsia" w:ascii="仿宋_GB2312" w:hAnsi="仿宋_GB2312" w:eastAsia="仿宋_GB2312" w:cs="仿宋_GB2312"/>
        </w:rPr>
      </w:pPr>
      <w:r>
        <w:rPr>
          <w:rFonts w:hint="eastAsia"/>
        </w:rPr>
        <w:t>小型水库与水系空间拓扑关系完善要求</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完善全省3267个</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以实际工程量为准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小型水库与水系的空间拓扑关系，实现水系与水库贯通。采用空间算法结合人工校验的方式，明确每座水库与对应水系的连接方式、流向关系，建立空间拓扑关联模型；对已建立的拓扑关系进行全量验证，确保从水库到流域的水系网络完全贯通、逻辑无误；根据《水利空间要素图式与表达规范》要求，按不同水系要素类型，设置线状水系、面状水系相应的图层，并同步开展数据建库，属性字段包括但不限于河源经度、河源纬度、河口经度、河口纬度、河流级别、所属流域、行政区划。数据成果按照《水利一张图空间信息服务规范》，在水利一张图系统进行发布。</w:t>
      </w:r>
    </w:p>
    <w:p>
      <w:pPr>
        <w:pStyle w:val="3"/>
        <w:rPr>
          <w:rFonts w:hint="eastAsia"/>
        </w:rPr>
      </w:pPr>
      <w:r>
        <w:rPr>
          <w:rFonts w:hint="eastAsia"/>
        </w:rPr>
        <w:t>福建省2025—2030年幸福河湖建设项目图层制作要求</w:t>
      </w:r>
    </w:p>
    <w:p>
      <w:pPr>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收集福建省2025—2030年幸福河湖建设项目名录，将河段数据（386段）进行矢量化，并按县（市、区）行政区划分别统计各区县辖区内涉及到的河段流径长度、流径流域面积。同步开展数据建库，属性字段包括但不限于河流名称、流经设区市、流经流域面积、流经长度、2022-2024平均幸福指数、现状星级、建设目标。数据成果按照《水利一张图空间信息服务规范》在水利一张图系统发布成果。</w:t>
      </w:r>
    </w:p>
    <w:p>
      <w:pPr>
        <w:pStyle w:val="3"/>
        <w:rPr>
          <w:rFonts w:hint="eastAsia"/>
        </w:rPr>
      </w:pPr>
      <w:r>
        <w:rPr>
          <w:rFonts w:hint="eastAsia"/>
        </w:rPr>
        <w:t>常态化服务支撑要求</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提供水利一张图已有395个图层数据及全省水库溢洪道图层、水系图层、福建省2025—2030年幸福河湖建设项目图层数据更新</w:t>
      </w:r>
      <w:r>
        <w:rPr>
          <w:rFonts w:hint="eastAsia" w:ascii="仿宋_GB2312" w:hAnsi="仿宋_GB2312" w:eastAsia="仿宋_GB2312" w:cs="仿宋_GB2312"/>
          <w:sz w:val="32"/>
          <w:szCs w:val="32"/>
          <w:lang w:val="en-US" w:eastAsia="zh-CN"/>
        </w:rPr>
        <w:t>服务</w:t>
      </w:r>
      <w:r>
        <w:rPr>
          <w:rFonts w:hint="eastAsia" w:ascii="仿宋_GB2312" w:hAnsi="仿宋_GB2312" w:eastAsia="仿宋_GB2312" w:cs="仿宋_GB2312"/>
          <w:sz w:val="32"/>
          <w:szCs w:val="32"/>
        </w:rPr>
        <w:t>，包括数据合并、符号化。同时提供图层服务资源发布、共享、</w:t>
      </w:r>
      <w:r>
        <w:rPr>
          <w:rFonts w:hint="eastAsia" w:ascii="仿宋_GB2312" w:hAnsi="仿宋_GB2312" w:eastAsia="仿宋_GB2312" w:cs="仿宋_GB2312"/>
          <w:sz w:val="32"/>
          <w:szCs w:val="32"/>
          <w:lang w:val="en-US" w:eastAsia="zh-CN"/>
        </w:rPr>
        <w:t>错误</w:t>
      </w:r>
      <w:r>
        <w:rPr>
          <w:rFonts w:hint="eastAsia" w:ascii="仿宋_GB2312" w:hAnsi="仿宋_GB2312" w:eastAsia="仿宋_GB2312" w:cs="仿宋_GB2312"/>
          <w:sz w:val="32"/>
          <w:szCs w:val="32"/>
        </w:rPr>
        <w:t>排查等处理服务（期限：自合同签订起12个月）。</w:t>
      </w:r>
    </w:p>
    <w:p>
      <w:pPr>
        <w:ind w:firstLine="640"/>
        <w:rPr>
          <w:rFonts w:hint="eastAsia" w:ascii="仿宋_GB2312" w:hAnsi="仿宋_GB2312" w:eastAsia="仿宋_GB2312" w:cs="仿宋_GB2312"/>
          <w:sz w:val="32"/>
          <w:szCs w:val="32"/>
        </w:rPr>
      </w:pPr>
    </w:p>
    <w:p>
      <w:pPr>
        <w:pStyle w:val="2"/>
        <w:numPr>
          <w:ilvl w:val="0"/>
          <w:numId w:val="4"/>
        </w:numPr>
        <w:ind w:firstLineChars="0"/>
        <w:rPr>
          <w:rFonts w:hint="eastAsia"/>
        </w:rPr>
      </w:pPr>
      <w:r>
        <w:rPr>
          <w:rFonts w:hint="eastAsia"/>
        </w:rPr>
        <w:t>服务要求</w:t>
      </w:r>
    </w:p>
    <w:p>
      <w:pPr>
        <w:pStyle w:val="3"/>
        <w:numPr>
          <w:ilvl w:val="0"/>
          <w:numId w:val="5"/>
        </w:numPr>
        <w:rPr>
          <w:rFonts w:hint="eastAsia"/>
        </w:rPr>
      </w:pPr>
      <w:r>
        <w:rPr>
          <w:rFonts w:hint="eastAsia"/>
        </w:rPr>
        <w:t>服务期</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服务期自合同签订之日起12个月内。</w:t>
      </w:r>
    </w:p>
    <w:p>
      <w:pPr>
        <w:pStyle w:val="3"/>
        <w:numPr>
          <w:ilvl w:val="0"/>
          <w:numId w:val="5"/>
        </w:numPr>
        <w:rPr>
          <w:rFonts w:hint="eastAsia"/>
        </w:rPr>
      </w:pPr>
      <w:r>
        <w:rPr>
          <w:rFonts w:hint="eastAsia"/>
        </w:rPr>
        <w:t>人员配备要求</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同签订之日后，供应商按采购方指定的地点、时间组建项目专项服务团队，至少包含项目负责人1名、项目安全负责人1名、数据处理人员1名、质检人员1名。以上各岗位人员不得与其他项目复用，人员构成须与响应文件完全一致，并在合同签订时予以确认。项目执行期间，人员不得更换，以确保项目实施的连续性和稳定性。若确需要更换人员，须</w:t>
      </w:r>
      <w:r>
        <w:rPr>
          <w:rFonts w:hint="eastAsia" w:ascii="仿宋_GB2312" w:hAnsi="仿宋_GB2312" w:eastAsia="仿宋_GB2312" w:cs="仿宋_GB2312"/>
          <w:sz w:val="32"/>
          <w:szCs w:val="32"/>
          <w:lang w:val="en-US" w:eastAsia="zh-CN"/>
        </w:rPr>
        <w:t>提前3个工作日</w:t>
      </w:r>
      <w:r>
        <w:rPr>
          <w:rFonts w:hint="eastAsia" w:ascii="仿宋_GB2312" w:hAnsi="仿宋_GB2312" w:eastAsia="仿宋_GB2312" w:cs="仿宋_GB2312"/>
          <w:sz w:val="32"/>
          <w:szCs w:val="32"/>
        </w:rPr>
        <w:t>向采购方提交申请材料并征得同意。供应商应提供团队人员社保机构出具的6个月内任意一个月人员社会保险证明（应为供应商自身缴纳）并加盖公章。</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项目安全负责人要求：供应商为本项目配备的项目</w:t>
      </w:r>
      <w:r>
        <w:rPr>
          <w:rFonts w:hint="eastAsia" w:ascii="仿宋_GB2312" w:hAnsi="仿宋_GB2312" w:eastAsia="仿宋_GB2312" w:cs="仿宋_GB2312"/>
          <w:sz w:val="32"/>
          <w:szCs w:val="32"/>
          <w:lang w:val="en-US" w:eastAsia="zh-CN"/>
        </w:rPr>
        <w:t>安全</w:t>
      </w:r>
      <w:r>
        <w:rPr>
          <w:rFonts w:hint="eastAsia" w:ascii="仿宋_GB2312" w:hAnsi="仿宋_GB2312" w:eastAsia="仿宋_GB2312" w:cs="仿宋_GB2312"/>
          <w:sz w:val="32"/>
          <w:szCs w:val="32"/>
        </w:rPr>
        <w:t>负责人，须持有注册信息安全工程师、注册信息安全管理人员、国家信息安全水平考试（NISP）任意一项有效证书，供应商需提供相关证明材料</w:t>
      </w:r>
      <w:r>
        <w:rPr>
          <w:rFonts w:hint="eastAsia" w:ascii="仿宋_GB2312" w:hAnsi="仿宋_GB2312" w:eastAsia="仿宋_GB2312" w:cs="仿宋_GB2312"/>
          <w:sz w:val="32"/>
          <w:szCs w:val="32"/>
          <w:lang w:val="en-US" w:eastAsia="zh-CN"/>
        </w:rPr>
        <w:t>复印件并加盖公章</w:t>
      </w:r>
      <w:r>
        <w:rPr>
          <w:rFonts w:hint="eastAsia" w:ascii="仿宋_GB2312" w:hAnsi="仿宋_GB2312" w:eastAsia="仿宋_GB2312" w:cs="仿宋_GB2312"/>
          <w:sz w:val="32"/>
          <w:szCs w:val="32"/>
        </w:rPr>
        <w:t>。（供应商如持有中国网络安全审查认证和市场监管大数据中心颁发、且处于有效期内的信息安全服务资质认证证书，视同满足本项人员资质要求）</w:t>
      </w:r>
    </w:p>
    <w:p>
      <w:pPr>
        <w:ind w:firstLine="64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团队人员资质要求：本项目专项服务团队配置的项目负责人、项目安全负责人、数据处理人员、质检人员中，至少 1名人员须持有有效</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注册测绘师资格证书</w:t>
      </w:r>
      <w:r>
        <w:rPr>
          <w:rFonts w:hint="eastAsia" w:ascii="仿宋_GB2312" w:hAnsi="仿宋_GB2312" w:eastAsia="仿宋_GB2312" w:cs="仿宋_GB2312"/>
          <w:sz w:val="32"/>
          <w:szCs w:val="32"/>
          <w:lang w:val="en-US" w:eastAsia="zh-CN"/>
        </w:rPr>
        <w:t>或者</w:t>
      </w:r>
      <w:r>
        <w:rPr>
          <w:rFonts w:hint="eastAsia" w:ascii="仿宋_GB2312" w:hAnsi="仿宋_GB2312" w:eastAsia="仿宋_GB2312" w:cs="仿宋_GB2312"/>
          <w:sz w:val="32"/>
          <w:szCs w:val="32"/>
        </w:rPr>
        <w:t>注册</w:t>
      </w:r>
      <w:r>
        <w:rPr>
          <w:rFonts w:hint="eastAsia" w:ascii="仿宋_GB2312" w:hAnsi="仿宋_GB2312" w:eastAsia="仿宋_GB2312" w:cs="仿宋_GB2312"/>
          <w:sz w:val="32"/>
          <w:szCs w:val="32"/>
          <w:lang w:val="en-US" w:eastAsia="zh-CN"/>
        </w:rPr>
        <w:t>测绘师</w:t>
      </w:r>
      <w:r>
        <w:rPr>
          <w:rFonts w:hint="eastAsia" w:ascii="仿宋_GB2312" w:hAnsi="仿宋_GB2312" w:eastAsia="仿宋_GB2312" w:cs="仿宋_GB2312"/>
          <w:sz w:val="32"/>
          <w:szCs w:val="32"/>
        </w:rPr>
        <w:t>执业证书，供应商需提供相关</w:t>
      </w:r>
      <w:r>
        <w:rPr>
          <w:rFonts w:hint="eastAsia" w:ascii="仿宋_GB2312" w:hAnsi="仿宋_GB2312" w:eastAsia="仿宋_GB2312" w:cs="仿宋_GB2312"/>
          <w:sz w:val="32"/>
          <w:szCs w:val="32"/>
          <w:lang w:val="en-US" w:eastAsia="zh-CN"/>
        </w:rPr>
        <w:t>证明</w:t>
      </w:r>
      <w:r>
        <w:rPr>
          <w:rFonts w:hint="eastAsia" w:ascii="仿宋_GB2312" w:hAnsi="仿宋_GB2312" w:eastAsia="仿宋_GB2312" w:cs="仿宋_GB2312"/>
          <w:sz w:val="32"/>
          <w:szCs w:val="32"/>
        </w:rPr>
        <w:t>材料</w:t>
      </w:r>
      <w:r>
        <w:rPr>
          <w:rFonts w:hint="eastAsia" w:ascii="仿宋_GB2312" w:hAnsi="仿宋_GB2312" w:eastAsia="仿宋_GB2312" w:cs="仿宋_GB2312"/>
          <w:sz w:val="32"/>
          <w:szCs w:val="32"/>
          <w:lang w:val="en-US" w:eastAsia="zh-CN"/>
        </w:rPr>
        <w:t>复印件并加盖公章</w:t>
      </w:r>
      <w:r>
        <w:rPr>
          <w:rFonts w:hint="eastAsia" w:ascii="仿宋_GB2312" w:hAnsi="仿宋_GB2312" w:eastAsia="仿宋_GB2312" w:cs="仿宋_GB2312"/>
          <w:sz w:val="32"/>
          <w:szCs w:val="32"/>
        </w:rPr>
        <w:t>。</w:t>
      </w:r>
    </w:p>
    <w:p>
      <w:pPr>
        <w:pStyle w:val="3"/>
        <w:rPr>
          <w:rFonts w:hint="eastAsia"/>
        </w:rPr>
      </w:pPr>
      <w:r>
        <w:rPr>
          <w:rFonts w:hint="eastAsia"/>
          <w:lang w:val="en-US" w:eastAsia="zh-CN"/>
        </w:rPr>
        <w:t>供应商</w:t>
      </w:r>
      <w:r>
        <w:rPr>
          <w:rFonts w:hint="eastAsia"/>
        </w:rPr>
        <w:t>要求</w:t>
      </w:r>
    </w:p>
    <w:p>
      <w:pPr>
        <w:ind w:firstLine="640"/>
        <w:rPr>
          <w:rFonts w:hint="eastAsia"/>
        </w:rPr>
      </w:pPr>
      <w:r>
        <w:rPr>
          <w:rFonts w:hint="eastAsia" w:ascii="仿宋_GB2312" w:hAnsi="仿宋_GB2312" w:eastAsia="仿宋_GB2312" w:cs="仿宋_GB2312"/>
          <w:sz w:val="32"/>
          <w:szCs w:val="32"/>
        </w:rPr>
        <w:t>为确保本项目涉及的地理信息数据处理工作的专业性与合规性，供应商须具备自然资源主管部门核发且在有效期内的甲级测绘资质证书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供应商需</w:t>
      </w:r>
      <w:r>
        <w:rPr>
          <w:rFonts w:hint="eastAsia" w:ascii="仿宋_GB2312" w:hAnsi="仿宋_GB2312" w:eastAsia="仿宋_GB2312" w:cs="仿宋_GB2312"/>
          <w:sz w:val="32"/>
          <w:szCs w:val="32"/>
          <w:lang w:val="en-US" w:eastAsia="zh-CN"/>
        </w:rPr>
        <w:t>提供证书复印件并加盖公章</w:t>
      </w:r>
      <w:r>
        <w:rPr>
          <w:rFonts w:hint="eastAsia" w:ascii="仿宋_GB2312" w:hAnsi="仿宋_GB2312" w:eastAsia="仿宋_GB2312" w:cs="仿宋_GB2312"/>
          <w:sz w:val="32"/>
          <w:szCs w:val="32"/>
        </w:rPr>
        <w:t>。</w:t>
      </w:r>
    </w:p>
    <w:p>
      <w:pPr>
        <w:pStyle w:val="3"/>
        <w:numPr>
          <w:ilvl w:val="0"/>
          <w:numId w:val="5"/>
        </w:numPr>
        <w:rPr>
          <w:rFonts w:hint="eastAsia"/>
        </w:rPr>
      </w:pPr>
      <w:r>
        <w:rPr>
          <w:rFonts w:hint="eastAsia"/>
        </w:rPr>
        <w:t>服务成果要求</w:t>
      </w:r>
    </w:p>
    <w:tbl>
      <w:tblPr>
        <w:tblStyle w:val="1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4"/>
        <w:gridCol w:w="583"/>
        <w:gridCol w:w="1600"/>
        <w:gridCol w:w="5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pct"/>
            <w:shd w:val="clear" w:color="auto" w:fill="F1F1F1" w:themeFill="background1" w:themeFillShade="F2"/>
            <w:vAlign w:val="center"/>
          </w:tcPr>
          <w:p>
            <w:pPr>
              <w:ind w:firstLine="0" w:firstLineChars="0"/>
              <w:jc w:val="center"/>
              <w:rPr>
                <w:b/>
                <w:bCs/>
              </w:rPr>
            </w:pPr>
            <w:r>
              <w:rPr>
                <w:rFonts w:hint="eastAsia"/>
                <w:b/>
                <w:bCs/>
              </w:rPr>
              <w:t>交付物类型</w:t>
            </w:r>
          </w:p>
        </w:tc>
        <w:tc>
          <w:tcPr>
            <w:tcW w:w="342" w:type="pct"/>
            <w:shd w:val="clear" w:color="auto" w:fill="F1F1F1" w:themeFill="background1" w:themeFillShade="F2"/>
            <w:vAlign w:val="center"/>
          </w:tcPr>
          <w:p>
            <w:pPr>
              <w:ind w:firstLine="0" w:firstLineChars="0"/>
              <w:jc w:val="center"/>
              <w:rPr>
                <w:b/>
                <w:bCs/>
              </w:rPr>
            </w:pPr>
            <w:r>
              <w:rPr>
                <w:rFonts w:hint="eastAsia"/>
                <w:b/>
                <w:bCs/>
              </w:rPr>
              <w:t>序号</w:t>
            </w:r>
          </w:p>
        </w:tc>
        <w:tc>
          <w:tcPr>
            <w:tcW w:w="939" w:type="pct"/>
            <w:shd w:val="clear" w:color="auto" w:fill="F1F1F1" w:themeFill="background1" w:themeFillShade="F2"/>
            <w:vAlign w:val="center"/>
          </w:tcPr>
          <w:p>
            <w:pPr>
              <w:ind w:firstLine="0" w:firstLineChars="0"/>
              <w:jc w:val="center"/>
              <w:rPr>
                <w:b/>
                <w:bCs/>
              </w:rPr>
            </w:pPr>
            <w:r>
              <w:rPr>
                <w:rFonts w:hint="eastAsia"/>
                <w:b/>
                <w:bCs/>
              </w:rPr>
              <w:t>成果</w:t>
            </w:r>
          </w:p>
        </w:tc>
        <w:tc>
          <w:tcPr>
            <w:tcW w:w="3124" w:type="pct"/>
            <w:shd w:val="clear" w:color="auto" w:fill="F1F1F1" w:themeFill="background1" w:themeFillShade="F2"/>
            <w:vAlign w:val="center"/>
          </w:tcPr>
          <w:p>
            <w:pPr>
              <w:ind w:firstLine="0" w:firstLineChars="0"/>
              <w:jc w:val="center"/>
              <w:rPr>
                <w:b/>
                <w:bCs/>
              </w:rPr>
            </w:pPr>
            <w:r>
              <w:rPr>
                <w:rFonts w:hint="eastAsia"/>
                <w:b/>
                <w:bCs/>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pct"/>
            <w:vMerge w:val="restart"/>
            <w:vAlign w:val="center"/>
          </w:tcPr>
          <w:p>
            <w:pPr>
              <w:ind w:firstLine="0" w:firstLineChars="0"/>
            </w:pPr>
            <w:r>
              <w:rPr>
                <w:rFonts w:hint="eastAsia"/>
              </w:rPr>
              <w:t>图层</w:t>
            </w:r>
          </w:p>
        </w:tc>
        <w:tc>
          <w:tcPr>
            <w:tcW w:w="342" w:type="pct"/>
            <w:vAlign w:val="center"/>
          </w:tcPr>
          <w:p>
            <w:pPr>
              <w:ind w:firstLine="0" w:firstLineChars="0"/>
            </w:pPr>
            <w:r>
              <w:rPr>
                <w:rFonts w:hint="eastAsia"/>
              </w:rPr>
              <w:t>1</w:t>
            </w:r>
          </w:p>
        </w:tc>
        <w:tc>
          <w:tcPr>
            <w:tcW w:w="939" w:type="pct"/>
            <w:vAlign w:val="center"/>
          </w:tcPr>
          <w:p>
            <w:pPr>
              <w:ind w:firstLine="0" w:firstLineChars="0"/>
            </w:pPr>
            <w:r>
              <w:rPr>
                <w:rFonts w:hint="eastAsia"/>
              </w:rPr>
              <w:t>全省水库溢洪道图层</w:t>
            </w:r>
          </w:p>
        </w:tc>
        <w:tc>
          <w:tcPr>
            <w:tcW w:w="3124" w:type="pct"/>
            <w:vAlign w:val="center"/>
          </w:tcPr>
          <w:p>
            <w:pPr>
              <w:ind w:firstLine="0" w:firstLineChars="0"/>
            </w:pPr>
            <w:r>
              <w:rPr>
                <w:rFonts w:hint="eastAsia"/>
              </w:rPr>
              <w:t>提交形式：SHP格式文件、面要素。</w:t>
            </w:r>
          </w:p>
          <w:p>
            <w:pPr>
              <w:ind w:firstLine="0" w:firstLineChars="0"/>
            </w:pPr>
            <w:r>
              <w:rPr>
                <w:rFonts w:hint="eastAsia"/>
              </w:rPr>
              <w:t>坐标系：2000国家大地坐标系。</w:t>
            </w:r>
          </w:p>
          <w:p>
            <w:pPr>
              <w:ind w:firstLine="0" w:firstLineChars="0"/>
            </w:pPr>
            <w:r>
              <w:rPr>
                <w:rFonts w:hint="eastAsia"/>
              </w:rPr>
              <w:t>其他：（1）成果在水利一张图系统完成发布。（2）溢洪道须与水利一张图现有水库匹配，并保持水库编码和名称的一致性。（3）在水利一张图上实现溢洪道图层要素信息展示，展示内容包括水库编码、水库名称、库型、溢洪道分类、所属流域、所属行政区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pct"/>
            <w:vMerge w:val="continue"/>
            <w:vAlign w:val="center"/>
          </w:tcPr>
          <w:p>
            <w:pPr>
              <w:ind w:firstLine="0" w:firstLineChars="0"/>
            </w:pPr>
          </w:p>
        </w:tc>
        <w:tc>
          <w:tcPr>
            <w:tcW w:w="342" w:type="pct"/>
            <w:vAlign w:val="center"/>
          </w:tcPr>
          <w:p>
            <w:pPr>
              <w:ind w:firstLine="0" w:firstLineChars="0"/>
            </w:pPr>
            <w:r>
              <w:rPr>
                <w:rFonts w:hint="eastAsia"/>
              </w:rPr>
              <w:t>2</w:t>
            </w:r>
          </w:p>
        </w:tc>
        <w:tc>
          <w:tcPr>
            <w:tcW w:w="939" w:type="pct"/>
            <w:vAlign w:val="center"/>
          </w:tcPr>
          <w:p>
            <w:pPr>
              <w:ind w:firstLine="0" w:firstLineChars="0"/>
            </w:pPr>
            <w:r>
              <w:rPr>
                <w:rFonts w:hint="eastAsia"/>
              </w:rPr>
              <w:t>水系图层</w:t>
            </w:r>
          </w:p>
        </w:tc>
        <w:tc>
          <w:tcPr>
            <w:tcW w:w="3124" w:type="pct"/>
            <w:vAlign w:val="center"/>
          </w:tcPr>
          <w:p>
            <w:pPr>
              <w:ind w:firstLine="0" w:firstLineChars="0"/>
            </w:pPr>
            <w:r>
              <w:rPr>
                <w:rFonts w:hint="eastAsia"/>
              </w:rPr>
              <w:t>提交形式：SHP格式文件、面/线要素。</w:t>
            </w:r>
          </w:p>
          <w:p>
            <w:pPr>
              <w:ind w:firstLine="0" w:firstLineChars="0"/>
            </w:pPr>
            <w:r>
              <w:rPr>
                <w:rFonts w:hint="eastAsia"/>
              </w:rPr>
              <w:t>坐标系：2000国家大地坐标系。</w:t>
            </w:r>
          </w:p>
          <w:p>
            <w:pPr>
              <w:ind w:firstLine="0" w:firstLineChars="0"/>
            </w:pPr>
            <w:r>
              <w:rPr>
                <w:rFonts w:hint="eastAsia"/>
              </w:rPr>
              <w:t>其他：（1）成果在水利一张图系统完成发布。（2）3267个（以实际工程量为准）小型水库均与水系贯通。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pct"/>
            <w:vMerge w:val="continue"/>
            <w:vAlign w:val="center"/>
          </w:tcPr>
          <w:p>
            <w:pPr>
              <w:ind w:firstLine="0" w:firstLineChars="0"/>
            </w:pPr>
          </w:p>
        </w:tc>
        <w:tc>
          <w:tcPr>
            <w:tcW w:w="342" w:type="pct"/>
            <w:vAlign w:val="center"/>
          </w:tcPr>
          <w:p>
            <w:pPr>
              <w:ind w:firstLine="0" w:firstLineChars="0"/>
            </w:pPr>
            <w:r>
              <w:rPr>
                <w:rFonts w:hint="eastAsia"/>
              </w:rPr>
              <w:t>3</w:t>
            </w:r>
          </w:p>
        </w:tc>
        <w:tc>
          <w:tcPr>
            <w:tcW w:w="939" w:type="pct"/>
            <w:vAlign w:val="center"/>
          </w:tcPr>
          <w:p>
            <w:pPr>
              <w:ind w:firstLine="0" w:firstLineChars="0"/>
            </w:pPr>
            <w:r>
              <w:rPr>
                <w:rFonts w:hint="eastAsia"/>
              </w:rPr>
              <w:t>福建省2025—2030年幸福河湖建设项目图层</w:t>
            </w:r>
          </w:p>
        </w:tc>
        <w:tc>
          <w:tcPr>
            <w:tcW w:w="3124" w:type="pct"/>
            <w:vAlign w:val="center"/>
          </w:tcPr>
          <w:p>
            <w:pPr>
              <w:ind w:firstLine="0" w:firstLineChars="0"/>
            </w:pPr>
            <w:r>
              <w:rPr>
                <w:rFonts w:hint="eastAsia"/>
              </w:rPr>
              <w:t>提交形式：SHP格式文件、面要素。</w:t>
            </w:r>
          </w:p>
          <w:p>
            <w:pPr>
              <w:ind w:firstLine="0" w:firstLineChars="0"/>
            </w:pPr>
            <w:r>
              <w:rPr>
                <w:rFonts w:hint="eastAsia"/>
              </w:rPr>
              <w:t>坐标系：2000国家大地坐标系。</w:t>
            </w:r>
          </w:p>
          <w:p>
            <w:pPr>
              <w:ind w:firstLine="0" w:firstLineChars="0"/>
            </w:pPr>
            <w:r>
              <w:rPr>
                <w:rFonts w:hint="eastAsia"/>
              </w:rPr>
              <w:t>其他：（1）成果在水利一张图系统完成发布。（2）不少于386个河段，并且每个河段均须落在水利一张图现有河流图层上。（3）在水利一张图上实现要素信息展示，展示内容包括市县名称、河流名称、流域面积、2022-2024平均幸福指数、流经设区市、流经长度、流经流域面积、现状星级、建设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pct"/>
            <w:vMerge w:val="continue"/>
            <w:vAlign w:val="center"/>
          </w:tcPr>
          <w:p>
            <w:pPr>
              <w:ind w:firstLine="0" w:firstLineChars="0"/>
            </w:pPr>
          </w:p>
        </w:tc>
        <w:tc>
          <w:tcPr>
            <w:tcW w:w="342" w:type="pct"/>
            <w:vAlign w:val="center"/>
          </w:tcPr>
          <w:p>
            <w:pPr>
              <w:ind w:firstLine="0" w:firstLineChars="0"/>
            </w:pPr>
            <w:r>
              <w:rPr>
                <w:rFonts w:hint="eastAsia"/>
              </w:rPr>
              <w:t>4</w:t>
            </w:r>
          </w:p>
        </w:tc>
        <w:tc>
          <w:tcPr>
            <w:tcW w:w="939" w:type="pct"/>
            <w:vAlign w:val="center"/>
          </w:tcPr>
          <w:p>
            <w:pPr>
              <w:ind w:firstLine="0" w:firstLineChars="0"/>
              <w:rPr>
                <w:rFonts w:hint="eastAsia" w:eastAsiaTheme="minorEastAsia"/>
                <w:lang w:val="en-US" w:eastAsia="zh-CN"/>
              </w:rPr>
            </w:pPr>
            <w:r>
              <w:rPr>
                <w:rFonts w:hint="eastAsia"/>
              </w:rPr>
              <w:t>已有395个图层数据及全省水库溢洪道图层、水系图层、福建省2025—2030年幸福河湖建设项目图层</w:t>
            </w:r>
            <w:r>
              <w:rPr>
                <w:rFonts w:hint="eastAsia"/>
                <w:lang w:val="en-US" w:eastAsia="zh-CN"/>
              </w:rPr>
              <w:t>中存在</w:t>
            </w:r>
            <w:r>
              <w:rPr>
                <w:rFonts w:hint="eastAsia"/>
              </w:rPr>
              <w:t>更新</w:t>
            </w:r>
            <w:r>
              <w:rPr>
                <w:rFonts w:hint="eastAsia"/>
                <w:lang w:eastAsia="zh-CN"/>
              </w:rPr>
              <w:t>的</w:t>
            </w:r>
            <w:r>
              <w:rPr>
                <w:rFonts w:hint="eastAsia"/>
                <w:lang w:val="en-US" w:eastAsia="zh-CN"/>
              </w:rPr>
              <w:t>图层</w:t>
            </w:r>
          </w:p>
        </w:tc>
        <w:tc>
          <w:tcPr>
            <w:tcW w:w="3124" w:type="pct"/>
            <w:vAlign w:val="center"/>
          </w:tcPr>
          <w:p>
            <w:pPr>
              <w:ind w:firstLine="0" w:firstLineChars="0"/>
            </w:pPr>
            <w:r>
              <w:rPr>
                <w:rFonts w:hint="eastAsia"/>
              </w:rPr>
              <w:t>提交形式：SHP格式文件、面/线要素。</w:t>
            </w:r>
          </w:p>
          <w:p>
            <w:pPr>
              <w:ind w:firstLine="0" w:firstLineChars="0"/>
            </w:pPr>
            <w:r>
              <w:rPr>
                <w:rFonts w:hint="eastAsia"/>
              </w:rPr>
              <w:t>坐标系：2000国家大地坐标系。</w:t>
            </w:r>
          </w:p>
          <w:p>
            <w:pPr>
              <w:ind w:firstLine="0" w:firstLineChars="0"/>
            </w:pPr>
            <w:r>
              <w:rPr>
                <w:rFonts w:hint="eastAsia"/>
              </w:rPr>
              <w:t>其他：（1）采用按需更新模式</w:t>
            </w:r>
            <w:r>
              <w:rPr>
                <w:rFonts w:hint="eastAsia"/>
                <w:lang w:eastAsia="zh-CN"/>
              </w:rPr>
              <w:t>，</w:t>
            </w:r>
            <w:r>
              <w:rPr>
                <w:rFonts w:hint="eastAsia"/>
              </w:rPr>
              <w:t>仅提交当期发生变更的图层，不提交冗余存量图层。（2）成果在水利一张图系统完成发布。</w:t>
            </w:r>
          </w:p>
        </w:tc>
      </w:tr>
    </w:tbl>
    <w:p>
      <w:pPr>
        <w:pStyle w:val="3"/>
        <w:rPr>
          <w:rFonts w:hint="eastAsia"/>
        </w:rPr>
      </w:pPr>
      <w:bookmarkStart w:id="0" w:name="OLE_LINK15"/>
      <w:r>
        <w:rPr>
          <w:rFonts w:hint="eastAsia"/>
        </w:rPr>
        <w:t>日常服务响应</w:t>
      </w:r>
    </w:p>
    <w:p>
      <w:pPr>
        <w:ind w:firstLine="640"/>
      </w:pPr>
      <w:r>
        <w:rPr>
          <w:rFonts w:hint="eastAsia" w:ascii="仿宋_GB2312" w:hAnsi="仿宋_GB2312" w:eastAsia="仿宋_GB2312" w:cs="仿宋_GB2312"/>
          <w:sz w:val="32"/>
          <w:szCs w:val="32"/>
        </w:rPr>
        <w:t>供应商须确保服务响应时限，相关服务人员电话关机、未接听不主动回复的，每发生一次扣500元；应急响应未到岗的每次扣1000元；超出响应时限要求每发生一次扣2000元。在尾款进行扣款描述。</w:t>
      </w:r>
    </w:p>
    <w:p>
      <w:pPr>
        <w:pStyle w:val="3"/>
        <w:rPr>
          <w:rFonts w:hint="eastAsia" w:ascii="仿宋_GB2312" w:hAnsi="仿宋_GB2312" w:eastAsia="仿宋_GB2312" w:cs="仿宋_GB2312"/>
        </w:rPr>
      </w:pPr>
      <w:r>
        <w:rPr>
          <w:rFonts w:hint="eastAsia"/>
        </w:rPr>
        <w:t>其它要求</w:t>
      </w:r>
    </w:p>
    <w:p>
      <w:pPr>
        <w:numPr>
          <w:ilvl w:val="0"/>
          <w:numId w:val="6"/>
        </w:numPr>
        <w:ind w:lef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须自行完成本项目所需全部数据的收集工作，严格遵守《数据安全法》《个人信息保护法》等相关法律法规，确保数据来源合法、采集流程规范、数据内容完整且安全。供应商不得采用爬取、窃取等非法手段获取数据，采购人有权对数据收集过程及结果进行抽查核验。若发现数据存在来源非法、内容虚假等问题，采购人有权终止合同，并要求供应商承担由此造成的一切损失。</w:t>
      </w:r>
    </w:p>
    <w:p>
      <w:pPr>
        <w:numPr>
          <w:ilvl w:val="0"/>
          <w:numId w:val="6"/>
        </w:numPr>
        <w:ind w:lef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应承诺服务人员严格按照甲方指定地点开展并完成本项目的服务工作，对项目中涉及的数据资料、过程材料及成果负保密责任并妥善保管，未经甲方事先书面授权，供应商不得以任何目的、方式、手段将项目中的数据资料、过程材料及成果转让或提供给第三方。若因供应商过失导致数据资料遗失或泄密的，采购方有权扣除未支付的所有服务费用，收回已支付的服务费用，并追究相应的法律责任。</w:t>
      </w:r>
    </w:p>
    <w:p>
      <w:pPr>
        <w:numPr>
          <w:ilvl w:val="0"/>
          <w:numId w:val="6"/>
        </w:numPr>
        <w:ind w:lef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因供应商自身原因导致项目无法顺利进行的，采购方有权解除合同，并有权对供应商进行相应的处罚。</w:t>
      </w:r>
    </w:p>
    <w:p>
      <w:pPr>
        <w:numPr>
          <w:ilvl w:val="0"/>
          <w:numId w:val="6"/>
        </w:numPr>
        <w:ind w:lef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供应商应承诺在服务期内按照甲方应急响应要求，安排本项目服务人员到甲方指定地点，提供24小时应急响应和应急制图服务。</w:t>
      </w:r>
    </w:p>
    <w:bookmarkEnd w:id="0"/>
    <w:p>
      <w:pPr>
        <w:pStyle w:val="2"/>
        <w:numPr>
          <w:ilvl w:val="0"/>
          <w:numId w:val="4"/>
        </w:numPr>
        <w:ind w:firstLineChars="0"/>
        <w:rPr>
          <w:rFonts w:hint="eastAsia"/>
        </w:rPr>
      </w:pPr>
      <w:r>
        <w:rPr>
          <w:rFonts w:hint="eastAsia"/>
        </w:rPr>
        <w:t>成果提交及考核</w:t>
      </w:r>
    </w:p>
    <w:p>
      <w:pPr>
        <w:pStyle w:val="3"/>
        <w:numPr>
          <w:ilvl w:val="0"/>
          <w:numId w:val="7"/>
        </w:numPr>
        <w:rPr>
          <w:rFonts w:hint="eastAsia"/>
        </w:rPr>
      </w:pPr>
      <w:r>
        <w:rPr>
          <w:rFonts w:hint="eastAsia"/>
        </w:rPr>
        <w:t>成果提交</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根据相关业务应用需求，本项目服务成果需按以下时间点分别进行提交。具体如下：</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第一期：合同签订后</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日内，完成福建省2025—2030年幸福河湖建设项目图层制作。由采购人对供应商提交的服务成果和服务期间的服务情况进行考核。</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第二期：合同签订后6个月内，完成全省水库溢洪道矢量化和完善小型水库与水系空间拓扑关系。由采购人对供应商提交的服务成果和服务期间的服务情况进行考核。</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期：合同签订后</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个月，完成常态化服务支撑。由采购人对供应商提交的服务成果和服务期间的服务情况进行考核。</w:t>
      </w:r>
    </w:p>
    <w:p>
      <w:pPr>
        <w:pStyle w:val="3"/>
        <w:numPr>
          <w:ilvl w:val="0"/>
          <w:numId w:val="7"/>
        </w:numPr>
        <w:rPr>
          <w:rFonts w:hint="eastAsia"/>
        </w:rPr>
      </w:pPr>
      <w:r>
        <w:rPr>
          <w:rFonts w:hint="eastAsia"/>
        </w:rPr>
        <w:t>考核内容</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采购人对供应商提供的</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期成果质量和服务情况分别进行量化考核评分，考核评分表如下：</w:t>
      </w:r>
    </w:p>
    <w:p>
      <w:pPr>
        <w:ind w:firstLine="0" w:firstLineChars="0"/>
        <w:jc w:val="center"/>
        <w:rPr>
          <w:b/>
          <w:bCs/>
          <w:lang w:bidi="ar"/>
        </w:rPr>
      </w:pPr>
      <w:r>
        <w:rPr>
          <w:rFonts w:hint="eastAsia"/>
          <w:b/>
          <w:bCs/>
          <w:lang w:bidi="ar"/>
        </w:rPr>
        <w:t>表1第一期考核评分表</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7"/>
        <w:gridCol w:w="714"/>
        <w:gridCol w:w="1796"/>
        <w:gridCol w:w="4683"/>
        <w:gridCol w:w="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557" w:type="dxa"/>
            <w:vAlign w:val="center"/>
          </w:tcPr>
          <w:p>
            <w:pPr>
              <w:widowControl/>
              <w:ind w:firstLine="0" w:firstLineChars="0"/>
              <w:jc w:val="center"/>
              <w:rPr>
                <w:rFonts w:hint="eastAsia" w:ascii="仿宋_GB2312" w:hAnsi="仿宋_GB2312" w:eastAsia="仿宋_GB2312" w:cs="宋体"/>
                <w:b/>
                <w:bCs/>
                <w:kern w:val="0"/>
                <w:szCs w:val="21"/>
              </w:rPr>
            </w:pPr>
            <w:r>
              <w:rPr>
                <w:rFonts w:hint="eastAsia" w:ascii="仿宋_GB2312" w:hAnsi="仿宋_GB2312" w:eastAsia="仿宋_GB2312" w:cs="宋体"/>
                <w:b/>
                <w:bCs/>
                <w:kern w:val="0"/>
                <w:szCs w:val="21"/>
              </w:rPr>
              <w:t>序号</w:t>
            </w:r>
          </w:p>
        </w:tc>
        <w:tc>
          <w:tcPr>
            <w:tcW w:w="714" w:type="dxa"/>
            <w:vAlign w:val="center"/>
          </w:tcPr>
          <w:p>
            <w:pPr>
              <w:widowControl/>
              <w:ind w:firstLine="0" w:firstLineChars="0"/>
              <w:jc w:val="center"/>
              <w:rPr>
                <w:rFonts w:hint="eastAsia" w:ascii="仿宋_GB2312" w:hAnsi="仿宋_GB2312" w:eastAsia="仿宋_GB2312" w:cs="宋体"/>
                <w:b/>
                <w:bCs/>
                <w:kern w:val="0"/>
                <w:szCs w:val="21"/>
              </w:rPr>
            </w:pPr>
            <w:r>
              <w:rPr>
                <w:rFonts w:hint="eastAsia" w:ascii="仿宋_GB2312" w:hAnsi="仿宋_GB2312" w:eastAsia="仿宋_GB2312" w:cs="宋体"/>
                <w:b/>
                <w:bCs/>
                <w:kern w:val="0"/>
                <w:szCs w:val="21"/>
              </w:rPr>
              <w:t>指标名称</w:t>
            </w:r>
          </w:p>
        </w:tc>
        <w:tc>
          <w:tcPr>
            <w:tcW w:w="1796" w:type="dxa"/>
            <w:vAlign w:val="center"/>
          </w:tcPr>
          <w:p>
            <w:pPr>
              <w:widowControl/>
              <w:ind w:firstLine="0" w:firstLineChars="0"/>
              <w:jc w:val="center"/>
              <w:rPr>
                <w:rFonts w:hint="eastAsia" w:ascii="仿宋_GB2312" w:hAnsi="仿宋_GB2312" w:eastAsia="仿宋_GB2312" w:cs="宋体"/>
                <w:b/>
                <w:bCs/>
                <w:kern w:val="0"/>
                <w:szCs w:val="21"/>
              </w:rPr>
            </w:pPr>
            <w:r>
              <w:rPr>
                <w:rFonts w:hint="eastAsia" w:ascii="仿宋_GB2312" w:hAnsi="仿宋_GB2312" w:eastAsia="仿宋_GB2312" w:cs="宋体"/>
                <w:b/>
                <w:bCs/>
                <w:kern w:val="0"/>
                <w:szCs w:val="21"/>
              </w:rPr>
              <w:t>评估要点</w:t>
            </w:r>
          </w:p>
        </w:tc>
        <w:tc>
          <w:tcPr>
            <w:tcW w:w="4683" w:type="dxa"/>
            <w:vAlign w:val="center"/>
          </w:tcPr>
          <w:p>
            <w:pPr>
              <w:widowControl/>
              <w:ind w:firstLine="0" w:firstLineChars="0"/>
              <w:jc w:val="center"/>
              <w:rPr>
                <w:rFonts w:hint="eastAsia" w:ascii="仿宋_GB2312" w:hAnsi="仿宋_GB2312" w:eastAsia="仿宋_GB2312" w:cs="宋体"/>
                <w:b/>
                <w:bCs/>
                <w:kern w:val="0"/>
                <w:szCs w:val="21"/>
              </w:rPr>
            </w:pPr>
            <w:r>
              <w:rPr>
                <w:rFonts w:hint="eastAsia" w:ascii="仿宋_GB2312" w:hAnsi="仿宋_GB2312" w:eastAsia="仿宋_GB2312" w:cs="宋体"/>
                <w:b/>
                <w:bCs/>
                <w:kern w:val="0"/>
                <w:szCs w:val="21"/>
              </w:rPr>
              <w:t>评分标准</w:t>
            </w:r>
          </w:p>
        </w:tc>
        <w:tc>
          <w:tcPr>
            <w:tcW w:w="536" w:type="dxa"/>
            <w:vAlign w:val="center"/>
          </w:tcPr>
          <w:p>
            <w:pPr>
              <w:widowControl/>
              <w:ind w:firstLine="0" w:firstLineChars="0"/>
              <w:jc w:val="center"/>
              <w:rPr>
                <w:rFonts w:hint="eastAsia" w:ascii="仿宋_GB2312" w:hAnsi="仿宋_GB2312" w:eastAsia="仿宋_GB2312" w:cs="宋体"/>
                <w:b/>
                <w:bCs/>
                <w:kern w:val="0"/>
                <w:szCs w:val="21"/>
              </w:rPr>
            </w:pPr>
            <w:r>
              <w:rPr>
                <w:rFonts w:hint="eastAsia" w:ascii="仿宋_GB2312" w:hAnsi="仿宋_GB2312" w:eastAsia="仿宋_GB2312" w:cs="宋体"/>
                <w:b/>
                <w:bCs/>
                <w:kern w:val="0"/>
                <w:szCs w:val="21"/>
              </w:rPr>
              <w:t>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557" w:type="dxa"/>
            <w:vAlign w:val="center"/>
          </w:tcPr>
          <w:p>
            <w:pPr>
              <w:widowControl/>
              <w:ind w:firstLine="0" w:firstLineChars="0"/>
              <w:jc w:val="center"/>
              <w:rPr>
                <w:rFonts w:hint="eastAsia" w:ascii="仿宋_GB2312" w:hAnsi="仿宋_GB2312" w:eastAsia="仿宋_GB2312" w:cs="Calibri"/>
                <w:kern w:val="0"/>
                <w:szCs w:val="21"/>
              </w:rPr>
            </w:pPr>
            <w:r>
              <w:rPr>
                <w:rFonts w:ascii="仿宋_GB2312" w:hAnsi="仿宋_GB2312" w:eastAsia="仿宋_GB2312" w:cs="Calibri"/>
                <w:kern w:val="0"/>
                <w:szCs w:val="21"/>
              </w:rPr>
              <w:t>1</w:t>
            </w:r>
          </w:p>
        </w:tc>
        <w:tc>
          <w:tcPr>
            <w:tcW w:w="714" w:type="dxa"/>
            <w:vMerge w:val="restart"/>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服务成果数据要素完整性</w:t>
            </w:r>
          </w:p>
        </w:tc>
        <w:tc>
          <w:tcPr>
            <w:tcW w:w="1796" w:type="dxa"/>
            <w:vMerge w:val="restart"/>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检查福建省</w:t>
            </w:r>
            <w:r>
              <w:rPr>
                <w:rFonts w:ascii="仿宋_GB2312" w:hAnsi="仿宋_GB2312" w:eastAsia="仿宋_GB2312" w:cs="Calibri"/>
                <w:kern w:val="0"/>
                <w:szCs w:val="21"/>
              </w:rPr>
              <w:t>2025</w:t>
            </w:r>
            <w:r>
              <w:rPr>
                <w:rFonts w:hint="eastAsia" w:ascii="仿宋_GB2312" w:hAnsi="仿宋_GB2312" w:eastAsia="仿宋_GB2312" w:cs="宋体"/>
                <w:kern w:val="0"/>
                <w:szCs w:val="21"/>
              </w:rPr>
              <w:t>—</w:t>
            </w:r>
            <w:r>
              <w:rPr>
                <w:rFonts w:ascii="仿宋_GB2312" w:hAnsi="仿宋_GB2312" w:eastAsia="仿宋_GB2312" w:cs="Calibri"/>
                <w:kern w:val="0"/>
                <w:szCs w:val="21"/>
              </w:rPr>
              <w:t>2030</w:t>
            </w:r>
            <w:r>
              <w:rPr>
                <w:rFonts w:hint="eastAsia" w:ascii="仿宋_GB2312" w:hAnsi="仿宋_GB2312" w:eastAsia="仿宋_GB2312" w:cs="宋体"/>
                <w:kern w:val="0"/>
                <w:szCs w:val="21"/>
              </w:rPr>
              <w:t>年幸福河湖建设项目图层数据完整性</w:t>
            </w:r>
          </w:p>
        </w:tc>
        <w:tc>
          <w:tcPr>
            <w:tcW w:w="4683" w:type="dxa"/>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福建省</w:t>
            </w:r>
            <w:r>
              <w:rPr>
                <w:rFonts w:ascii="仿宋_GB2312" w:hAnsi="仿宋_GB2312" w:eastAsia="仿宋_GB2312" w:cs="Calibri"/>
                <w:kern w:val="0"/>
                <w:szCs w:val="21"/>
              </w:rPr>
              <w:t>2025</w:t>
            </w:r>
            <w:r>
              <w:rPr>
                <w:rFonts w:hint="eastAsia" w:ascii="仿宋_GB2312" w:hAnsi="仿宋_GB2312" w:eastAsia="仿宋_GB2312" w:cs="宋体"/>
                <w:kern w:val="0"/>
                <w:szCs w:val="21"/>
              </w:rPr>
              <w:t>—</w:t>
            </w:r>
            <w:r>
              <w:rPr>
                <w:rFonts w:ascii="仿宋_GB2312" w:hAnsi="仿宋_GB2312" w:eastAsia="仿宋_GB2312" w:cs="Calibri"/>
                <w:kern w:val="0"/>
                <w:szCs w:val="21"/>
              </w:rPr>
              <w:t>2030</w:t>
            </w:r>
            <w:r>
              <w:rPr>
                <w:rFonts w:hint="eastAsia" w:ascii="仿宋_GB2312" w:hAnsi="仿宋_GB2312" w:eastAsia="仿宋_GB2312" w:cs="宋体"/>
                <w:kern w:val="0"/>
                <w:szCs w:val="21"/>
              </w:rPr>
              <w:t>年幸福河湖建设项目图层中，不少于</w:t>
            </w:r>
            <w:r>
              <w:rPr>
                <w:rFonts w:ascii="仿宋_GB2312" w:hAnsi="仿宋_GB2312" w:eastAsia="仿宋_GB2312" w:cs="Calibri"/>
                <w:kern w:val="0"/>
                <w:szCs w:val="21"/>
              </w:rPr>
              <w:t>386</w:t>
            </w:r>
            <w:r>
              <w:rPr>
                <w:rFonts w:hint="eastAsia" w:ascii="仿宋_GB2312" w:hAnsi="仿宋_GB2312" w:eastAsia="仿宋_GB2312" w:cs="宋体"/>
                <w:kern w:val="0"/>
                <w:szCs w:val="21"/>
              </w:rPr>
              <w:t>个河段（重复按一次计），每缺少</w:t>
            </w:r>
            <w:r>
              <w:rPr>
                <w:rFonts w:ascii="仿宋_GB2312" w:hAnsi="仿宋_GB2312" w:eastAsia="仿宋_GB2312" w:cs="Calibri"/>
                <w:kern w:val="0"/>
                <w:szCs w:val="21"/>
              </w:rPr>
              <w:t>1</w:t>
            </w:r>
            <w:r>
              <w:rPr>
                <w:rFonts w:hint="eastAsia" w:ascii="仿宋_GB2312" w:hAnsi="仿宋_GB2312" w:eastAsia="仿宋_GB2312" w:cs="宋体"/>
                <w:kern w:val="0"/>
                <w:szCs w:val="21"/>
              </w:rPr>
              <w:t>个河段，扣</w:t>
            </w:r>
            <w:r>
              <w:rPr>
                <w:rFonts w:hint="eastAsia" w:ascii="仿宋_GB2312" w:hAnsi="仿宋_GB2312" w:eastAsia="仿宋_GB2312" w:cs="Calibri"/>
                <w:kern w:val="0"/>
                <w:szCs w:val="21"/>
              </w:rPr>
              <w:t>2</w:t>
            </w:r>
            <w:r>
              <w:rPr>
                <w:rFonts w:hint="eastAsia" w:ascii="仿宋_GB2312" w:hAnsi="仿宋_GB2312" w:eastAsia="仿宋_GB2312" w:cs="宋体"/>
                <w:kern w:val="0"/>
                <w:szCs w:val="21"/>
              </w:rPr>
              <w:t>分，满分</w:t>
            </w:r>
            <w:r>
              <w:rPr>
                <w:rFonts w:hint="eastAsia" w:ascii="仿宋_GB2312" w:hAnsi="仿宋_GB2312" w:eastAsia="仿宋_GB2312" w:cs="Calibri"/>
                <w:kern w:val="0"/>
                <w:szCs w:val="21"/>
              </w:rPr>
              <w:t>10</w:t>
            </w:r>
            <w:r>
              <w:rPr>
                <w:rFonts w:hint="eastAsia" w:ascii="仿宋_GB2312" w:hAnsi="仿宋_GB2312" w:eastAsia="仿宋_GB2312" w:cs="宋体"/>
                <w:kern w:val="0"/>
                <w:szCs w:val="21"/>
              </w:rPr>
              <w:t>分。</w:t>
            </w:r>
          </w:p>
        </w:tc>
        <w:tc>
          <w:tcPr>
            <w:tcW w:w="536" w:type="dxa"/>
            <w:vAlign w:val="center"/>
          </w:tcPr>
          <w:p>
            <w:pPr>
              <w:widowControl/>
              <w:ind w:firstLine="0" w:firstLineChars="0"/>
              <w:jc w:val="center"/>
              <w:rPr>
                <w:rFonts w:hint="eastAsia" w:ascii="仿宋_GB2312" w:hAnsi="仿宋_GB2312" w:eastAsia="仿宋_GB2312" w:cs="Calibri"/>
                <w:kern w:val="0"/>
                <w:szCs w:val="21"/>
              </w:rPr>
            </w:pPr>
            <w:r>
              <w:rPr>
                <w:rFonts w:hint="eastAsia" w:ascii="仿宋_GB2312" w:hAnsi="仿宋_GB2312" w:eastAsia="仿宋_GB2312" w:cs="Calibri"/>
                <w:kern w:val="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557" w:type="dxa"/>
            <w:vAlign w:val="center"/>
          </w:tcPr>
          <w:p>
            <w:pPr>
              <w:widowControl/>
              <w:ind w:firstLine="0" w:firstLineChars="0"/>
              <w:jc w:val="center"/>
              <w:rPr>
                <w:rFonts w:hint="eastAsia" w:ascii="仿宋_GB2312" w:hAnsi="仿宋_GB2312" w:eastAsia="仿宋_GB2312" w:cs="Calibri"/>
                <w:kern w:val="0"/>
                <w:szCs w:val="21"/>
              </w:rPr>
            </w:pPr>
            <w:r>
              <w:rPr>
                <w:rFonts w:ascii="仿宋_GB2312" w:hAnsi="仿宋_GB2312" w:eastAsia="仿宋_GB2312" w:cs="Calibri"/>
                <w:kern w:val="0"/>
                <w:szCs w:val="21"/>
              </w:rPr>
              <w:t>2</w:t>
            </w:r>
          </w:p>
        </w:tc>
        <w:tc>
          <w:tcPr>
            <w:tcW w:w="714" w:type="dxa"/>
            <w:vMerge w:val="continue"/>
            <w:vAlign w:val="center"/>
          </w:tcPr>
          <w:p>
            <w:pPr>
              <w:widowControl/>
              <w:ind w:firstLine="0" w:firstLineChars="0"/>
              <w:rPr>
                <w:rFonts w:hint="eastAsia" w:ascii="仿宋_GB2312" w:hAnsi="仿宋_GB2312" w:eastAsia="仿宋_GB2312" w:cs="宋体"/>
                <w:kern w:val="0"/>
                <w:szCs w:val="21"/>
              </w:rPr>
            </w:pPr>
          </w:p>
        </w:tc>
        <w:tc>
          <w:tcPr>
            <w:tcW w:w="1796" w:type="dxa"/>
            <w:vMerge w:val="continue"/>
            <w:vAlign w:val="center"/>
          </w:tcPr>
          <w:p>
            <w:pPr>
              <w:widowControl/>
              <w:ind w:firstLine="0" w:firstLineChars="0"/>
              <w:jc w:val="left"/>
              <w:rPr>
                <w:rFonts w:hint="eastAsia" w:ascii="仿宋_GB2312" w:hAnsi="仿宋_GB2312" w:eastAsia="仿宋_GB2312" w:cs="宋体"/>
                <w:kern w:val="0"/>
                <w:szCs w:val="21"/>
              </w:rPr>
            </w:pPr>
          </w:p>
        </w:tc>
        <w:tc>
          <w:tcPr>
            <w:tcW w:w="4683" w:type="dxa"/>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福建省</w:t>
            </w:r>
            <w:r>
              <w:rPr>
                <w:rFonts w:ascii="仿宋_GB2312" w:hAnsi="仿宋_GB2312" w:eastAsia="仿宋_GB2312" w:cs="Calibri"/>
                <w:kern w:val="0"/>
                <w:szCs w:val="21"/>
              </w:rPr>
              <w:t>2025</w:t>
            </w:r>
            <w:r>
              <w:rPr>
                <w:rFonts w:hint="eastAsia" w:ascii="仿宋_GB2312" w:hAnsi="仿宋_GB2312" w:eastAsia="仿宋_GB2312" w:cs="宋体"/>
                <w:kern w:val="0"/>
                <w:szCs w:val="21"/>
              </w:rPr>
              <w:t>—</w:t>
            </w:r>
            <w:r>
              <w:rPr>
                <w:rFonts w:ascii="仿宋_GB2312" w:hAnsi="仿宋_GB2312" w:eastAsia="仿宋_GB2312" w:cs="Calibri"/>
                <w:kern w:val="0"/>
                <w:szCs w:val="21"/>
              </w:rPr>
              <w:t>2030</w:t>
            </w:r>
            <w:r>
              <w:rPr>
                <w:rFonts w:hint="eastAsia" w:ascii="仿宋_GB2312" w:hAnsi="仿宋_GB2312" w:eastAsia="仿宋_GB2312" w:cs="宋体"/>
                <w:kern w:val="0"/>
                <w:szCs w:val="21"/>
              </w:rPr>
              <w:t>年幸福河湖建设项目图层中，缺少河流名称、流域面积、</w:t>
            </w:r>
            <w:r>
              <w:rPr>
                <w:rFonts w:ascii="仿宋_GB2312" w:hAnsi="仿宋_GB2312" w:eastAsia="仿宋_GB2312" w:cs="Calibri"/>
                <w:kern w:val="0"/>
                <w:szCs w:val="21"/>
              </w:rPr>
              <w:t>2022-2024</w:t>
            </w:r>
            <w:r>
              <w:rPr>
                <w:rFonts w:hint="eastAsia" w:ascii="仿宋_GB2312" w:hAnsi="仿宋_GB2312" w:eastAsia="仿宋_GB2312" w:cs="宋体"/>
                <w:kern w:val="0"/>
                <w:szCs w:val="21"/>
              </w:rPr>
              <w:t>平均幸福指数、流经设区市、流经县（市、区）、流经长度、流经流域面积、现状星级、建设目标信息要素的，缺少</w:t>
            </w:r>
            <w:r>
              <w:rPr>
                <w:rFonts w:ascii="仿宋_GB2312" w:hAnsi="仿宋_GB2312" w:eastAsia="仿宋_GB2312" w:cs="Calibri"/>
                <w:kern w:val="0"/>
                <w:szCs w:val="21"/>
              </w:rPr>
              <w:t>1</w:t>
            </w:r>
            <w:r>
              <w:rPr>
                <w:rFonts w:hint="eastAsia" w:ascii="仿宋_GB2312" w:hAnsi="仿宋_GB2312" w:eastAsia="仿宋_GB2312" w:cs="宋体"/>
                <w:kern w:val="0"/>
                <w:szCs w:val="21"/>
              </w:rPr>
              <w:t>项，扣</w:t>
            </w:r>
            <w:r>
              <w:rPr>
                <w:rFonts w:ascii="仿宋_GB2312" w:hAnsi="仿宋_GB2312" w:eastAsia="仿宋_GB2312" w:cs="Calibri"/>
                <w:kern w:val="0"/>
                <w:szCs w:val="21"/>
              </w:rPr>
              <w:t>1</w:t>
            </w:r>
            <w:r>
              <w:rPr>
                <w:rFonts w:hint="eastAsia" w:ascii="仿宋_GB2312" w:hAnsi="仿宋_GB2312" w:eastAsia="仿宋_GB2312" w:cs="Calibri"/>
                <w:kern w:val="0"/>
                <w:szCs w:val="21"/>
              </w:rPr>
              <w:t>.5</w:t>
            </w:r>
            <w:r>
              <w:rPr>
                <w:rFonts w:hint="eastAsia" w:ascii="仿宋_GB2312" w:hAnsi="仿宋_GB2312" w:eastAsia="仿宋_GB2312" w:cs="宋体"/>
                <w:kern w:val="0"/>
                <w:szCs w:val="21"/>
              </w:rPr>
              <w:t>分，满分</w:t>
            </w:r>
            <w:r>
              <w:rPr>
                <w:rFonts w:ascii="仿宋_GB2312" w:hAnsi="仿宋_GB2312" w:eastAsia="仿宋_GB2312" w:cs="Calibri"/>
                <w:kern w:val="0"/>
                <w:szCs w:val="21"/>
              </w:rPr>
              <w:t>9</w:t>
            </w:r>
            <w:r>
              <w:rPr>
                <w:rFonts w:hint="eastAsia" w:ascii="仿宋_GB2312" w:hAnsi="仿宋_GB2312" w:eastAsia="仿宋_GB2312" w:cs="宋体"/>
                <w:kern w:val="0"/>
                <w:szCs w:val="21"/>
              </w:rPr>
              <w:t>分。</w:t>
            </w:r>
          </w:p>
        </w:tc>
        <w:tc>
          <w:tcPr>
            <w:tcW w:w="536" w:type="dxa"/>
            <w:vAlign w:val="center"/>
          </w:tcPr>
          <w:p>
            <w:pPr>
              <w:widowControl/>
              <w:ind w:firstLine="0" w:firstLineChars="0"/>
              <w:jc w:val="center"/>
              <w:rPr>
                <w:rFonts w:hint="eastAsia" w:ascii="仿宋_GB2312" w:hAnsi="仿宋_GB2312" w:eastAsia="仿宋_GB2312" w:cs="Calibri"/>
                <w:kern w:val="0"/>
                <w:szCs w:val="21"/>
              </w:rPr>
            </w:pPr>
            <w:r>
              <w:rPr>
                <w:rFonts w:ascii="仿宋_GB2312" w:hAnsi="仿宋_GB2312" w:eastAsia="仿宋_GB2312" w:cs="Calibri"/>
                <w:kern w:val="0"/>
                <w:szCs w:val="21"/>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557" w:type="dxa"/>
            <w:vAlign w:val="center"/>
          </w:tcPr>
          <w:p>
            <w:pPr>
              <w:widowControl/>
              <w:ind w:firstLine="0" w:firstLineChars="0"/>
              <w:jc w:val="center"/>
              <w:rPr>
                <w:rFonts w:hint="eastAsia" w:ascii="仿宋_GB2312" w:hAnsi="仿宋_GB2312" w:eastAsia="仿宋_GB2312" w:cs="Calibri"/>
                <w:kern w:val="0"/>
                <w:szCs w:val="21"/>
              </w:rPr>
            </w:pPr>
            <w:r>
              <w:rPr>
                <w:rFonts w:hint="eastAsia" w:ascii="仿宋_GB2312" w:hAnsi="仿宋_GB2312" w:eastAsia="仿宋_GB2312" w:cs="Calibri"/>
                <w:kern w:val="0"/>
                <w:szCs w:val="21"/>
              </w:rPr>
              <w:t>3</w:t>
            </w:r>
          </w:p>
        </w:tc>
        <w:tc>
          <w:tcPr>
            <w:tcW w:w="714" w:type="dxa"/>
            <w:vMerge w:val="restart"/>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服务成果数据要素绘制准确性</w:t>
            </w:r>
          </w:p>
        </w:tc>
        <w:tc>
          <w:tcPr>
            <w:tcW w:w="1796" w:type="dxa"/>
            <w:vMerge w:val="restart"/>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检查服务成果数据要素绘制的属性精度</w:t>
            </w:r>
          </w:p>
        </w:tc>
        <w:tc>
          <w:tcPr>
            <w:tcW w:w="4683" w:type="dxa"/>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供应商提供的福建省2025—2030年幸福河湖建设项目图层中出现河流流经设区市、流经县（市、区）错误的，每出现1次，扣3分，满分15分。</w:t>
            </w:r>
          </w:p>
        </w:tc>
        <w:tc>
          <w:tcPr>
            <w:tcW w:w="536" w:type="dxa"/>
            <w:vAlign w:val="center"/>
          </w:tcPr>
          <w:p>
            <w:pPr>
              <w:widowControl/>
              <w:ind w:firstLine="0" w:firstLineChars="0"/>
              <w:jc w:val="center"/>
              <w:rPr>
                <w:rFonts w:hint="eastAsia" w:ascii="仿宋_GB2312" w:hAnsi="仿宋_GB2312" w:eastAsia="仿宋_GB2312" w:cs="Calibri"/>
                <w:kern w:val="0"/>
                <w:szCs w:val="21"/>
              </w:rPr>
            </w:pPr>
            <w:r>
              <w:rPr>
                <w:rFonts w:ascii="仿宋_GB2312" w:hAnsi="仿宋_GB2312" w:eastAsia="仿宋_GB2312" w:cs="Calibri"/>
                <w:kern w:val="0"/>
                <w:szCs w:val="21"/>
              </w:rPr>
              <w:t>1</w:t>
            </w:r>
            <w:r>
              <w:rPr>
                <w:rFonts w:hint="eastAsia" w:ascii="仿宋_GB2312" w:hAnsi="仿宋_GB2312" w:eastAsia="仿宋_GB2312" w:cs="Calibri"/>
                <w:kern w:val="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557" w:type="dxa"/>
            <w:vAlign w:val="center"/>
          </w:tcPr>
          <w:p>
            <w:pPr>
              <w:widowControl/>
              <w:ind w:firstLine="0" w:firstLineChars="0"/>
              <w:jc w:val="center"/>
              <w:rPr>
                <w:rFonts w:hint="eastAsia" w:ascii="仿宋_GB2312" w:hAnsi="仿宋_GB2312" w:eastAsia="仿宋_GB2312" w:cs="Calibri"/>
                <w:kern w:val="0"/>
                <w:szCs w:val="21"/>
              </w:rPr>
            </w:pPr>
            <w:r>
              <w:rPr>
                <w:rFonts w:hint="eastAsia" w:ascii="仿宋_GB2312" w:hAnsi="仿宋_GB2312" w:eastAsia="仿宋_GB2312" w:cs="Calibri"/>
                <w:kern w:val="0"/>
                <w:szCs w:val="21"/>
              </w:rPr>
              <w:t>4</w:t>
            </w:r>
          </w:p>
        </w:tc>
        <w:tc>
          <w:tcPr>
            <w:tcW w:w="714" w:type="dxa"/>
            <w:vMerge w:val="continue"/>
            <w:vAlign w:val="center"/>
          </w:tcPr>
          <w:p>
            <w:pPr>
              <w:widowControl/>
              <w:ind w:firstLine="0" w:firstLineChars="0"/>
              <w:rPr>
                <w:rFonts w:hint="eastAsia" w:ascii="仿宋_GB2312" w:hAnsi="仿宋_GB2312" w:eastAsia="仿宋_GB2312" w:cs="宋体"/>
                <w:kern w:val="0"/>
                <w:szCs w:val="21"/>
              </w:rPr>
            </w:pPr>
          </w:p>
        </w:tc>
        <w:tc>
          <w:tcPr>
            <w:tcW w:w="1796" w:type="dxa"/>
            <w:vMerge w:val="continue"/>
            <w:vAlign w:val="center"/>
          </w:tcPr>
          <w:p>
            <w:pPr>
              <w:widowControl/>
              <w:ind w:firstLine="0" w:firstLineChars="0"/>
              <w:jc w:val="left"/>
              <w:rPr>
                <w:rFonts w:hint="eastAsia" w:ascii="仿宋_GB2312" w:hAnsi="仿宋_GB2312" w:eastAsia="仿宋_GB2312" w:cs="宋体"/>
                <w:kern w:val="0"/>
                <w:szCs w:val="21"/>
              </w:rPr>
            </w:pPr>
          </w:p>
        </w:tc>
        <w:tc>
          <w:tcPr>
            <w:tcW w:w="4683" w:type="dxa"/>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供应商提供的福建省2025—2030年幸福河湖建设项目图层中出现河段偏离的（以水利一张图现有河流为基准），每出现</w:t>
            </w:r>
            <w:r>
              <w:rPr>
                <w:rFonts w:ascii="仿宋_GB2312" w:hAnsi="仿宋_GB2312" w:eastAsia="仿宋_GB2312" w:cs="Calibri"/>
                <w:kern w:val="0"/>
                <w:szCs w:val="21"/>
              </w:rPr>
              <w:t>1</w:t>
            </w:r>
            <w:r>
              <w:rPr>
                <w:rFonts w:hint="eastAsia" w:ascii="仿宋_GB2312" w:hAnsi="仿宋_GB2312" w:eastAsia="仿宋_GB2312" w:cs="宋体"/>
                <w:kern w:val="0"/>
                <w:szCs w:val="21"/>
              </w:rPr>
              <w:t>次，扣</w:t>
            </w:r>
            <w:r>
              <w:rPr>
                <w:rFonts w:ascii="仿宋_GB2312" w:hAnsi="仿宋_GB2312" w:eastAsia="仿宋_GB2312" w:cs="Calibri"/>
                <w:kern w:val="0"/>
                <w:szCs w:val="21"/>
              </w:rPr>
              <w:t>2</w:t>
            </w:r>
            <w:r>
              <w:rPr>
                <w:rFonts w:hint="eastAsia" w:ascii="仿宋_GB2312" w:hAnsi="仿宋_GB2312" w:eastAsia="仿宋_GB2312" w:cs="宋体"/>
                <w:kern w:val="0"/>
                <w:szCs w:val="21"/>
              </w:rPr>
              <w:t>分，满分</w:t>
            </w:r>
            <w:r>
              <w:rPr>
                <w:rFonts w:ascii="仿宋_GB2312" w:hAnsi="仿宋_GB2312" w:eastAsia="仿宋_GB2312" w:cs="Calibri"/>
                <w:kern w:val="0"/>
                <w:szCs w:val="21"/>
              </w:rPr>
              <w:t>12</w:t>
            </w:r>
            <w:r>
              <w:rPr>
                <w:rFonts w:hint="eastAsia" w:ascii="仿宋_GB2312" w:hAnsi="仿宋_GB2312" w:eastAsia="仿宋_GB2312" w:cs="宋体"/>
                <w:kern w:val="0"/>
                <w:szCs w:val="21"/>
              </w:rPr>
              <w:t>分。</w:t>
            </w:r>
          </w:p>
        </w:tc>
        <w:tc>
          <w:tcPr>
            <w:tcW w:w="536" w:type="dxa"/>
            <w:vAlign w:val="center"/>
          </w:tcPr>
          <w:p>
            <w:pPr>
              <w:widowControl/>
              <w:ind w:firstLine="0" w:firstLineChars="0"/>
              <w:jc w:val="center"/>
              <w:rPr>
                <w:rFonts w:hint="eastAsia" w:ascii="仿宋_GB2312" w:hAnsi="仿宋_GB2312" w:eastAsia="仿宋_GB2312" w:cs="Calibri"/>
                <w:kern w:val="0"/>
                <w:szCs w:val="21"/>
              </w:rPr>
            </w:pPr>
            <w:r>
              <w:rPr>
                <w:rFonts w:ascii="仿宋_GB2312" w:hAnsi="仿宋_GB2312" w:eastAsia="仿宋_GB2312" w:cs="Calibri"/>
                <w:kern w:val="0"/>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557" w:type="dxa"/>
            <w:vAlign w:val="center"/>
          </w:tcPr>
          <w:p>
            <w:pPr>
              <w:widowControl/>
              <w:ind w:firstLine="0" w:firstLineChars="0"/>
              <w:jc w:val="center"/>
              <w:rPr>
                <w:rFonts w:hint="eastAsia" w:ascii="仿宋_GB2312" w:hAnsi="仿宋_GB2312" w:eastAsia="仿宋_GB2312" w:cs="Calibri"/>
                <w:kern w:val="0"/>
                <w:szCs w:val="21"/>
              </w:rPr>
            </w:pPr>
            <w:r>
              <w:rPr>
                <w:rFonts w:hint="eastAsia" w:ascii="仿宋_GB2312" w:hAnsi="仿宋_GB2312" w:eastAsia="仿宋_GB2312" w:cs="Calibri"/>
                <w:kern w:val="0"/>
                <w:szCs w:val="21"/>
              </w:rPr>
              <w:t>5</w:t>
            </w:r>
          </w:p>
        </w:tc>
        <w:tc>
          <w:tcPr>
            <w:tcW w:w="714" w:type="dxa"/>
            <w:vMerge w:val="continue"/>
            <w:vAlign w:val="center"/>
          </w:tcPr>
          <w:p>
            <w:pPr>
              <w:widowControl/>
              <w:ind w:firstLine="0" w:firstLineChars="0"/>
              <w:rPr>
                <w:rFonts w:hint="eastAsia" w:ascii="仿宋_GB2312" w:hAnsi="仿宋_GB2312" w:eastAsia="仿宋_GB2312" w:cs="宋体"/>
                <w:kern w:val="0"/>
                <w:szCs w:val="21"/>
              </w:rPr>
            </w:pPr>
          </w:p>
        </w:tc>
        <w:tc>
          <w:tcPr>
            <w:tcW w:w="1796" w:type="dxa"/>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检查服务成果数据要素绘制的完整性</w:t>
            </w:r>
          </w:p>
        </w:tc>
        <w:tc>
          <w:tcPr>
            <w:tcW w:w="4683" w:type="dxa"/>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供应商提供的服务成果中出现遗漏合并的面要素的，每出现</w:t>
            </w:r>
            <w:r>
              <w:rPr>
                <w:rFonts w:ascii="仿宋_GB2312" w:hAnsi="仿宋_GB2312" w:eastAsia="仿宋_GB2312" w:cs="Calibri"/>
                <w:kern w:val="0"/>
                <w:szCs w:val="21"/>
              </w:rPr>
              <w:t>1</w:t>
            </w:r>
            <w:r>
              <w:rPr>
                <w:rFonts w:hint="eastAsia" w:ascii="仿宋_GB2312" w:hAnsi="仿宋_GB2312" w:eastAsia="仿宋_GB2312" w:cs="宋体"/>
                <w:kern w:val="0"/>
                <w:szCs w:val="21"/>
              </w:rPr>
              <w:t>次，扣</w:t>
            </w:r>
            <w:r>
              <w:rPr>
                <w:rFonts w:ascii="仿宋_GB2312" w:hAnsi="仿宋_GB2312" w:eastAsia="仿宋_GB2312" w:cs="Calibri"/>
                <w:kern w:val="0"/>
                <w:szCs w:val="21"/>
              </w:rPr>
              <w:t>2</w:t>
            </w:r>
            <w:r>
              <w:rPr>
                <w:rFonts w:hint="eastAsia" w:ascii="仿宋_GB2312" w:hAnsi="仿宋_GB2312" w:eastAsia="仿宋_GB2312" w:cs="宋体"/>
                <w:kern w:val="0"/>
                <w:szCs w:val="21"/>
              </w:rPr>
              <w:t>分，满分</w:t>
            </w:r>
            <w:r>
              <w:rPr>
                <w:rFonts w:ascii="仿宋_GB2312" w:hAnsi="仿宋_GB2312" w:eastAsia="仿宋_GB2312" w:cs="Calibri"/>
                <w:kern w:val="0"/>
                <w:szCs w:val="21"/>
              </w:rPr>
              <w:t>14</w:t>
            </w:r>
            <w:r>
              <w:rPr>
                <w:rFonts w:hint="eastAsia" w:ascii="仿宋_GB2312" w:hAnsi="仿宋_GB2312" w:eastAsia="仿宋_GB2312" w:cs="宋体"/>
                <w:kern w:val="0"/>
                <w:szCs w:val="21"/>
              </w:rPr>
              <w:t>分。</w:t>
            </w:r>
          </w:p>
        </w:tc>
        <w:tc>
          <w:tcPr>
            <w:tcW w:w="536" w:type="dxa"/>
            <w:vAlign w:val="center"/>
          </w:tcPr>
          <w:p>
            <w:pPr>
              <w:widowControl/>
              <w:ind w:firstLine="0" w:firstLineChars="0"/>
              <w:jc w:val="center"/>
              <w:rPr>
                <w:rFonts w:hint="eastAsia" w:ascii="仿宋_GB2312" w:hAnsi="仿宋_GB2312" w:eastAsia="仿宋_GB2312" w:cs="Calibri"/>
                <w:kern w:val="0"/>
                <w:szCs w:val="21"/>
              </w:rPr>
            </w:pPr>
            <w:r>
              <w:rPr>
                <w:rFonts w:ascii="仿宋_GB2312" w:hAnsi="仿宋_GB2312" w:eastAsia="仿宋_GB2312" w:cs="Calibri"/>
                <w:kern w:val="0"/>
                <w:szCs w:val="21"/>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trPr>
        <w:tc>
          <w:tcPr>
            <w:tcW w:w="557" w:type="dxa"/>
            <w:vAlign w:val="center"/>
          </w:tcPr>
          <w:p>
            <w:pPr>
              <w:widowControl/>
              <w:ind w:firstLine="0" w:firstLineChars="0"/>
              <w:jc w:val="center"/>
              <w:rPr>
                <w:rFonts w:hint="eastAsia" w:ascii="仿宋_GB2312" w:hAnsi="仿宋_GB2312" w:eastAsia="仿宋_GB2312" w:cs="Calibri"/>
                <w:kern w:val="0"/>
                <w:szCs w:val="21"/>
              </w:rPr>
            </w:pPr>
            <w:r>
              <w:rPr>
                <w:rFonts w:hint="eastAsia" w:ascii="仿宋_GB2312" w:hAnsi="仿宋_GB2312" w:eastAsia="仿宋_GB2312" w:cs="Calibri"/>
                <w:kern w:val="0"/>
                <w:szCs w:val="21"/>
              </w:rPr>
              <w:t>6</w:t>
            </w:r>
          </w:p>
        </w:tc>
        <w:tc>
          <w:tcPr>
            <w:tcW w:w="714" w:type="dxa"/>
            <w:vMerge w:val="continue"/>
            <w:vAlign w:val="center"/>
          </w:tcPr>
          <w:p>
            <w:pPr>
              <w:widowControl/>
              <w:ind w:firstLine="0" w:firstLineChars="0"/>
              <w:rPr>
                <w:rFonts w:hint="eastAsia" w:ascii="仿宋_GB2312" w:hAnsi="仿宋_GB2312" w:eastAsia="仿宋_GB2312" w:cs="宋体"/>
                <w:kern w:val="0"/>
                <w:szCs w:val="21"/>
              </w:rPr>
            </w:pPr>
          </w:p>
        </w:tc>
        <w:tc>
          <w:tcPr>
            <w:tcW w:w="1796" w:type="dxa"/>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检查服务成果拓扑关系的准确性</w:t>
            </w:r>
          </w:p>
        </w:tc>
        <w:tc>
          <w:tcPr>
            <w:tcW w:w="4683" w:type="dxa"/>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供应商提供的服务成果出现以下任一情况：多边形未闭合；出现不必要的悬挂点、假节点；结点、弧段、多边形之间的连通、邻接、包含等拓扑信息未能正确表达的，每出现</w:t>
            </w:r>
            <w:r>
              <w:rPr>
                <w:rFonts w:ascii="仿宋_GB2312" w:hAnsi="仿宋_GB2312" w:eastAsia="仿宋_GB2312" w:cs="Calibri"/>
                <w:kern w:val="0"/>
                <w:szCs w:val="21"/>
              </w:rPr>
              <w:t>1</w:t>
            </w:r>
            <w:r>
              <w:rPr>
                <w:rFonts w:hint="eastAsia" w:ascii="仿宋_GB2312" w:hAnsi="仿宋_GB2312" w:eastAsia="仿宋_GB2312" w:cs="宋体"/>
                <w:kern w:val="0"/>
                <w:szCs w:val="21"/>
              </w:rPr>
              <w:t>次，扣</w:t>
            </w:r>
            <w:r>
              <w:rPr>
                <w:rFonts w:ascii="仿宋_GB2312" w:hAnsi="仿宋_GB2312" w:eastAsia="仿宋_GB2312" w:cs="Calibri"/>
                <w:kern w:val="0"/>
                <w:szCs w:val="21"/>
              </w:rPr>
              <w:t>2</w:t>
            </w:r>
            <w:r>
              <w:rPr>
                <w:rFonts w:hint="eastAsia" w:ascii="仿宋_GB2312" w:hAnsi="仿宋_GB2312" w:eastAsia="仿宋_GB2312" w:cs="宋体"/>
                <w:kern w:val="0"/>
                <w:szCs w:val="21"/>
              </w:rPr>
              <w:t>分，满分</w:t>
            </w:r>
            <w:r>
              <w:rPr>
                <w:rFonts w:ascii="仿宋_GB2312" w:hAnsi="仿宋_GB2312" w:eastAsia="仿宋_GB2312" w:cs="Calibri"/>
                <w:kern w:val="0"/>
                <w:szCs w:val="21"/>
              </w:rPr>
              <w:t>14</w:t>
            </w:r>
            <w:r>
              <w:rPr>
                <w:rFonts w:hint="eastAsia" w:ascii="仿宋_GB2312" w:hAnsi="仿宋_GB2312" w:eastAsia="仿宋_GB2312" w:cs="宋体"/>
                <w:kern w:val="0"/>
                <w:szCs w:val="21"/>
              </w:rPr>
              <w:t>分。</w:t>
            </w:r>
          </w:p>
        </w:tc>
        <w:tc>
          <w:tcPr>
            <w:tcW w:w="536" w:type="dxa"/>
            <w:vAlign w:val="center"/>
          </w:tcPr>
          <w:p>
            <w:pPr>
              <w:widowControl/>
              <w:ind w:firstLine="0" w:firstLineChars="0"/>
              <w:jc w:val="center"/>
              <w:rPr>
                <w:rFonts w:hint="eastAsia" w:ascii="仿宋_GB2312" w:hAnsi="仿宋_GB2312" w:eastAsia="仿宋_GB2312" w:cs="Calibri"/>
                <w:kern w:val="0"/>
                <w:szCs w:val="21"/>
              </w:rPr>
            </w:pPr>
            <w:r>
              <w:rPr>
                <w:rFonts w:ascii="仿宋_GB2312" w:hAnsi="仿宋_GB2312" w:eastAsia="仿宋_GB2312" w:cs="Calibri"/>
                <w:kern w:val="0"/>
                <w:szCs w:val="21"/>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trPr>
        <w:tc>
          <w:tcPr>
            <w:tcW w:w="557" w:type="dxa"/>
            <w:vAlign w:val="center"/>
          </w:tcPr>
          <w:p>
            <w:pPr>
              <w:widowControl/>
              <w:ind w:firstLine="0" w:firstLineChars="0"/>
              <w:jc w:val="center"/>
              <w:rPr>
                <w:rFonts w:hint="eastAsia" w:ascii="仿宋_GB2312" w:hAnsi="仿宋_GB2312" w:eastAsia="仿宋_GB2312" w:cs="Calibri"/>
                <w:kern w:val="0"/>
                <w:szCs w:val="21"/>
              </w:rPr>
            </w:pPr>
            <w:r>
              <w:rPr>
                <w:rFonts w:hint="eastAsia" w:ascii="仿宋_GB2312" w:hAnsi="仿宋_GB2312" w:eastAsia="仿宋_GB2312" w:cs="Calibri"/>
                <w:kern w:val="0"/>
                <w:szCs w:val="21"/>
              </w:rPr>
              <w:t>7</w:t>
            </w:r>
          </w:p>
        </w:tc>
        <w:tc>
          <w:tcPr>
            <w:tcW w:w="714" w:type="dxa"/>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服务满意度</w:t>
            </w:r>
          </w:p>
        </w:tc>
        <w:tc>
          <w:tcPr>
            <w:tcW w:w="1796" w:type="dxa"/>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在服务过程中，出现服务投诉</w:t>
            </w:r>
          </w:p>
        </w:tc>
        <w:tc>
          <w:tcPr>
            <w:tcW w:w="4683" w:type="dxa"/>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服务人员在保障本项目成果数据的更新、上图、入库、应用对接及福建省水利一张图应用服务平台图层数据更新服务等过程中，每投诉一次并经核实属于服务方问题引起的扣</w:t>
            </w:r>
            <w:r>
              <w:rPr>
                <w:rFonts w:ascii="仿宋_GB2312" w:hAnsi="仿宋_GB2312" w:eastAsia="仿宋_GB2312" w:cs="Calibri"/>
                <w:kern w:val="0"/>
                <w:szCs w:val="21"/>
              </w:rPr>
              <w:t>2</w:t>
            </w:r>
            <w:r>
              <w:rPr>
                <w:rFonts w:hint="eastAsia" w:ascii="仿宋_GB2312" w:hAnsi="仿宋_GB2312" w:eastAsia="仿宋_GB2312" w:cs="宋体"/>
                <w:kern w:val="0"/>
                <w:szCs w:val="21"/>
              </w:rPr>
              <w:t>分，满分</w:t>
            </w:r>
            <w:r>
              <w:rPr>
                <w:rFonts w:ascii="仿宋_GB2312" w:hAnsi="仿宋_GB2312" w:eastAsia="仿宋_GB2312" w:cs="Calibri"/>
                <w:kern w:val="0"/>
                <w:szCs w:val="21"/>
              </w:rPr>
              <w:t>10</w:t>
            </w:r>
            <w:r>
              <w:rPr>
                <w:rFonts w:hint="eastAsia" w:ascii="仿宋_GB2312" w:hAnsi="仿宋_GB2312" w:eastAsia="仿宋_GB2312" w:cs="宋体"/>
                <w:kern w:val="0"/>
                <w:szCs w:val="21"/>
              </w:rPr>
              <w:t>分，扣完为止。</w:t>
            </w:r>
          </w:p>
        </w:tc>
        <w:tc>
          <w:tcPr>
            <w:tcW w:w="536" w:type="dxa"/>
            <w:vAlign w:val="center"/>
          </w:tcPr>
          <w:p>
            <w:pPr>
              <w:widowControl/>
              <w:ind w:firstLine="0" w:firstLineChars="0"/>
              <w:jc w:val="center"/>
              <w:rPr>
                <w:rFonts w:hint="eastAsia" w:ascii="仿宋_GB2312" w:hAnsi="仿宋_GB2312" w:eastAsia="仿宋_GB2312" w:cs="Calibri"/>
                <w:kern w:val="0"/>
                <w:szCs w:val="21"/>
              </w:rPr>
            </w:pPr>
            <w:r>
              <w:rPr>
                <w:rFonts w:ascii="仿宋_GB2312" w:hAnsi="仿宋_GB2312" w:eastAsia="仿宋_GB2312" w:cs="Calibri"/>
                <w:kern w:val="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557" w:type="dxa"/>
            <w:vAlign w:val="center"/>
          </w:tcPr>
          <w:p>
            <w:pPr>
              <w:widowControl/>
              <w:ind w:firstLine="0" w:firstLineChars="0"/>
              <w:jc w:val="center"/>
              <w:rPr>
                <w:rFonts w:hint="eastAsia" w:ascii="仿宋_GB2312" w:hAnsi="仿宋_GB2312" w:eastAsia="仿宋_GB2312" w:cs="Calibri"/>
                <w:kern w:val="0"/>
                <w:szCs w:val="21"/>
              </w:rPr>
            </w:pPr>
            <w:r>
              <w:rPr>
                <w:rFonts w:hint="eastAsia" w:ascii="仿宋_GB2312" w:hAnsi="仿宋_GB2312" w:eastAsia="仿宋_GB2312" w:cs="Calibri"/>
                <w:kern w:val="0"/>
                <w:szCs w:val="21"/>
              </w:rPr>
              <w:t>8</w:t>
            </w:r>
          </w:p>
        </w:tc>
        <w:tc>
          <w:tcPr>
            <w:tcW w:w="714" w:type="dxa"/>
            <w:vMerge w:val="restart"/>
            <w:noWrap/>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人员考核</w:t>
            </w:r>
          </w:p>
        </w:tc>
        <w:tc>
          <w:tcPr>
            <w:tcW w:w="1796" w:type="dxa"/>
            <w:noWrap/>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服务团队稳定性</w:t>
            </w:r>
          </w:p>
        </w:tc>
        <w:tc>
          <w:tcPr>
            <w:tcW w:w="4683" w:type="dxa"/>
            <w:noWrap/>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服务团队稳定性保障不力，人员变更未提前5个工作日向业主提交书面申请的扣</w:t>
            </w:r>
            <w:r>
              <w:rPr>
                <w:rFonts w:ascii="仿宋_GB2312" w:hAnsi="仿宋_GB2312" w:eastAsia="仿宋_GB2312" w:cs="Calibri"/>
                <w:kern w:val="0"/>
                <w:szCs w:val="21"/>
              </w:rPr>
              <w:t>3</w:t>
            </w:r>
            <w:r>
              <w:rPr>
                <w:rFonts w:hint="eastAsia" w:ascii="仿宋_GB2312" w:hAnsi="仿宋_GB2312" w:eastAsia="仿宋_GB2312" w:cs="宋体"/>
                <w:kern w:val="0"/>
                <w:szCs w:val="21"/>
              </w:rPr>
              <w:t>分；服务期内人员变动大于</w:t>
            </w:r>
            <w:r>
              <w:rPr>
                <w:rFonts w:ascii="仿宋_GB2312" w:hAnsi="仿宋_GB2312" w:eastAsia="仿宋_GB2312" w:cs="Calibri"/>
                <w:kern w:val="0"/>
                <w:szCs w:val="21"/>
              </w:rPr>
              <w:t>1</w:t>
            </w:r>
            <w:r>
              <w:rPr>
                <w:rFonts w:hint="eastAsia" w:ascii="仿宋_GB2312" w:hAnsi="仿宋_GB2312" w:eastAsia="仿宋_GB2312" w:cs="宋体"/>
                <w:kern w:val="0"/>
                <w:szCs w:val="21"/>
              </w:rPr>
              <w:t>人次的扣</w:t>
            </w:r>
            <w:r>
              <w:rPr>
                <w:rFonts w:ascii="仿宋_GB2312" w:hAnsi="仿宋_GB2312" w:eastAsia="仿宋_GB2312" w:cs="Calibri"/>
                <w:kern w:val="0"/>
                <w:szCs w:val="21"/>
              </w:rPr>
              <w:t>3</w:t>
            </w:r>
            <w:r>
              <w:rPr>
                <w:rFonts w:hint="eastAsia" w:ascii="仿宋_GB2312" w:hAnsi="仿宋_GB2312" w:eastAsia="仿宋_GB2312" w:cs="宋体"/>
                <w:kern w:val="0"/>
                <w:szCs w:val="21"/>
              </w:rPr>
              <w:t>分。满分</w:t>
            </w:r>
            <w:r>
              <w:rPr>
                <w:rFonts w:ascii="仿宋_GB2312" w:hAnsi="仿宋_GB2312" w:eastAsia="仿宋_GB2312" w:cs="Calibri"/>
                <w:kern w:val="0"/>
                <w:szCs w:val="21"/>
              </w:rPr>
              <w:t>6</w:t>
            </w:r>
            <w:r>
              <w:rPr>
                <w:rFonts w:hint="eastAsia" w:ascii="仿宋_GB2312" w:hAnsi="仿宋_GB2312" w:eastAsia="仿宋_GB2312" w:cs="宋体"/>
                <w:kern w:val="0"/>
                <w:szCs w:val="21"/>
              </w:rPr>
              <w:t>分，扣完为止。</w:t>
            </w:r>
          </w:p>
        </w:tc>
        <w:tc>
          <w:tcPr>
            <w:tcW w:w="536" w:type="dxa"/>
            <w:noWrap/>
            <w:vAlign w:val="center"/>
          </w:tcPr>
          <w:p>
            <w:pPr>
              <w:widowControl/>
              <w:ind w:firstLine="0" w:firstLineChars="0"/>
              <w:jc w:val="center"/>
              <w:rPr>
                <w:rFonts w:hint="eastAsia" w:ascii="仿宋_GB2312" w:hAnsi="仿宋_GB2312" w:eastAsia="仿宋_GB2312" w:cs="Calibri"/>
                <w:kern w:val="0"/>
                <w:szCs w:val="21"/>
              </w:rPr>
            </w:pPr>
            <w:r>
              <w:rPr>
                <w:rFonts w:ascii="仿宋_GB2312" w:hAnsi="仿宋_GB2312" w:eastAsia="仿宋_GB2312" w:cs="Calibri"/>
                <w:kern w:val="0"/>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557" w:type="dxa"/>
            <w:vAlign w:val="center"/>
          </w:tcPr>
          <w:p>
            <w:pPr>
              <w:widowControl/>
              <w:ind w:firstLine="0" w:firstLineChars="0"/>
              <w:jc w:val="center"/>
              <w:rPr>
                <w:rFonts w:hint="eastAsia" w:ascii="仿宋_GB2312" w:hAnsi="仿宋_GB2312" w:eastAsia="仿宋_GB2312" w:cs="Calibri"/>
                <w:kern w:val="0"/>
                <w:szCs w:val="21"/>
              </w:rPr>
            </w:pPr>
            <w:r>
              <w:rPr>
                <w:rFonts w:hint="eastAsia" w:ascii="仿宋_GB2312" w:hAnsi="仿宋_GB2312" w:eastAsia="仿宋_GB2312" w:cs="Calibri"/>
                <w:kern w:val="0"/>
                <w:szCs w:val="21"/>
              </w:rPr>
              <w:t>9</w:t>
            </w:r>
          </w:p>
        </w:tc>
        <w:tc>
          <w:tcPr>
            <w:tcW w:w="714" w:type="dxa"/>
            <w:vMerge w:val="continue"/>
            <w:vAlign w:val="center"/>
          </w:tcPr>
          <w:p>
            <w:pPr>
              <w:widowControl/>
              <w:ind w:firstLine="0" w:firstLineChars="0"/>
              <w:jc w:val="left"/>
              <w:rPr>
                <w:rFonts w:hint="eastAsia" w:ascii="仿宋_GB2312" w:hAnsi="仿宋_GB2312" w:eastAsia="仿宋_GB2312" w:cs="宋体"/>
                <w:kern w:val="0"/>
                <w:szCs w:val="21"/>
              </w:rPr>
            </w:pPr>
          </w:p>
        </w:tc>
        <w:tc>
          <w:tcPr>
            <w:tcW w:w="1796" w:type="dxa"/>
            <w:noWrap/>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考勤满意度</w:t>
            </w:r>
          </w:p>
        </w:tc>
        <w:tc>
          <w:tcPr>
            <w:tcW w:w="4683" w:type="dxa"/>
            <w:noWrap/>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根据现场服务人员在岗情况、应急响应等服务情况，在</w:t>
            </w:r>
            <w:r>
              <w:rPr>
                <w:rFonts w:ascii="仿宋_GB2312" w:hAnsi="仿宋_GB2312" w:eastAsia="仿宋_GB2312" w:cs="Calibri"/>
                <w:kern w:val="0"/>
                <w:szCs w:val="21"/>
              </w:rPr>
              <w:t>1-10</w:t>
            </w:r>
            <w:r>
              <w:rPr>
                <w:rFonts w:hint="eastAsia" w:ascii="仿宋_GB2312" w:hAnsi="仿宋_GB2312" w:eastAsia="仿宋_GB2312" w:cs="宋体"/>
                <w:kern w:val="0"/>
                <w:szCs w:val="21"/>
              </w:rPr>
              <w:t>分内进行评分，满分</w:t>
            </w:r>
            <w:r>
              <w:rPr>
                <w:rFonts w:ascii="仿宋_GB2312" w:hAnsi="仿宋_GB2312" w:eastAsia="仿宋_GB2312" w:cs="Calibri"/>
                <w:kern w:val="0"/>
                <w:szCs w:val="21"/>
              </w:rPr>
              <w:t>10</w:t>
            </w:r>
            <w:r>
              <w:rPr>
                <w:rFonts w:hint="eastAsia" w:ascii="仿宋_GB2312" w:hAnsi="仿宋_GB2312" w:eastAsia="仿宋_GB2312" w:cs="宋体"/>
                <w:kern w:val="0"/>
                <w:szCs w:val="21"/>
              </w:rPr>
              <w:t>分。</w:t>
            </w:r>
          </w:p>
        </w:tc>
        <w:tc>
          <w:tcPr>
            <w:tcW w:w="536" w:type="dxa"/>
            <w:noWrap/>
            <w:vAlign w:val="center"/>
          </w:tcPr>
          <w:p>
            <w:pPr>
              <w:widowControl/>
              <w:ind w:firstLine="0" w:firstLineChars="0"/>
              <w:jc w:val="center"/>
              <w:rPr>
                <w:rFonts w:hint="eastAsia" w:ascii="仿宋_GB2312" w:hAnsi="仿宋_GB2312" w:eastAsia="仿宋_GB2312" w:cs="Calibri"/>
                <w:kern w:val="0"/>
                <w:szCs w:val="21"/>
              </w:rPr>
            </w:pPr>
            <w:r>
              <w:rPr>
                <w:rFonts w:ascii="仿宋_GB2312" w:hAnsi="仿宋_GB2312" w:eastAsia="仿宋_GB2312" w:cs="Calibri"/>
                <w:kern w:val="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557" w:type="dxa"/>
            <w:vAlign w:val="center"/>
          </w:tcPr>
          <w:p>
            <w:pPr>
              <w:widowControl/>
              <w:ind w:firstLine="0" w:firstLineChars="0"/>
              <w:jc w:val="center"/>
              <w:rPr>
                <w:rFonts w:hint="eastAsia" w:ascii="仿宋_GB2312" w:hAnsi="仿宋_GB2312" w:eastAsia="仿宋_GB2312" w:cs="Calibri"/>
                <w:kern w:val="0"/>
                <w:szCs w:val="21"/>
              </w:rPr>
            </w:pPr>
            <w:r>
              <w:rPr>
                <w:rFonts w:ascii="仿宋_GB2312" w:hAnsi="仿宋_GB2312" w:eastAsia="仿宋_GB2312" w:cs="Calibri"/>
                <w:kern w:val="0"/>
                <w:szCs w:val="21"/>
              </w:rPr>
              <w:t>1</w:t>
            </w:r>
            <w:r>
              <w:rPr>
                <w:rFonts w:hint="eastAsia" w:ascii="仿宋_GB2312" w:hAnsi="仿宋_GB2312" w:eastAsia="仿宋_GB2312" w:cs="Calibri"/>
                <w:kern w:val="0"/>
                <w:szCs w:val="21"/>
              </w:rPr>
              <w:t>0</w:t>
            </w:r>
          </w:p>
        </w:tc>
        <w:tc>
          <w:tcPr>
            <w:tcW w:w="7193" w:type="dxa"/>
            <w:gridSpan w:val="3"/>
            <w:noWrap/>
            <w:vAlign w:val="center"/>
          </w:tcPr>
          <w:p>
            <w:pPr>
              <w:widowControl/>
              <w:ind w:firstLine="0" w:firstLineChars="0"/>
              <w:jc w:val="center"/>
              <w:rPr>
                <w:rFonts w:hint="eastAsia" w:ascii="仿宋_GB2312" w:hAnsi="仿宋_GB2312" w:eastAsia="仿宋_GB2312" w:cs="宋体"/>
                <w:b/>
                <w:bCs/>
                <w:kern w:val="0"/>
                <w:szCs w:val="21"/>
              </w:rPr>
            </w:pPr>
            <w:r>
              <w:rPr>
                <w:rFonts w:hint="eastAsia" w:ascii="仿宋_GB2312" w:hAnsi="仿宋_GB2312" w:eastAsia="仿宋_GB2312" w:cs="宋体"/>
                <w:b/>
                <w:bCs/>
                <w:kern w:val="0"/>
                <w:szCs w:val="21"/>
              </w:rPr>
              <w:t>合计</w:t>
            </w:r>
          </w:p>
        </w:tc>
        <w:tc>
          <w:tcPr>
            <w:tcW w:w="536" w:type="dxa"/>
            <w:noWrap/>
            <w:vAlign w:val="center"/>
          </w:tcPr>
          <w:p>
            <w:pPr>
              <w:widowControl/>
              <w:ind w:firstLine="0" w:firstLineChars="0"/>
              <w:jc w:val="center"/>
              <w:rPr>
                <w:rFonts w:hint="eastAsia" w:ascii="仿宋_GB2312" w:hAnsi="仿宋_GB2312" w:eastAsia="仿宋_GB2312" w:cs="Calibri"/>
                <w:kern w:val="0"/>
                <w:szCs w:val="21"/>
              </w:rPr>
            </w:pPr>
            <w:r>
              <w:rPr>
                <w:rFonts w:ascii="仿宋_GB2312" w:hAnsi="仿宋_GB2312" w:eastAsia="仿宋_GB2312" w:cs="Calibri"/>
                <w:kern w:val="0"/>
                <w:szCs w:val="21"/>
              </w:rPr>
              <w:t>100</w:t>
            </w:r>
          </w:p>
        </w:tc>
      </w:tr>
    </w:tbl>
    <w:p>
      <w:pPr>
        <w:ind w:left="0" w:leftChars="0" w:firstLine="0" w:firstLineChars="0"/>
        <w:rPr>
          <w:rFonts w:hint="eastAsia"/>
          <w:b/>
          <w:bCs/>
          <w:lang w:bidi="ar"/>
        </w:rPr>
      </w:pPr>
    </w:p>
    <w:p>
      <w:pPr>
        <w:ind w:firstLine="0" w:firstLineChars="0"/>
        <w:jc w:val="center"/>
        <w:rPr>
          <w:b/>
          <w:bCs/>
          <w:lang w:bidi="ar"/>
        </w:rPr>
      </w:pPr>
      <w:r>
        <w:rPr>
          <w:rFonts w:hint="eastAsia"/>
          <w:b/>
          <w:bCs/>
          <w:lang w:bidi="ar"/>
        </w:rPr>
        <w:t>表2第二期考核评分表</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2"/>
        <w:gridCol w:w="713"/>
        <w:gridCol w:w="1814"/>
        <w:gridCol w:w="4640"/>
        <w:gridCol w:w="5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562" w:type="dxa"/>
            <w:vAlign w:val="center"/>
          </w:tcPr>
          <w:p>
            <w:pPr>
              <w:widowControl/>
              <w:ind w:firstLine="0" w:firstLineChars="0"/>
              <w:jc w:val="center"/>
              <w:rPr>
                <w:rFonts w:hint="eastAsia" w:ascii="仿宋_GB2312" w:hAnsi="仿宋_GB2312" w:eastAsia="仿宋_GB2312" w:cs="宋体"/>
                <w:b/>
                <w:bCs/>
                <w:kern w:val="0"/>
                <w:szCs w:val="21"/>
              </w:rPr>
            </w:pPr>
            <w:r>
              <w:rPr>
                <w:rFonts w:hint="eastAsia" w:ascii="仿宋_GB2312" w:hAnsi="仿宋_GB2312" w:eastAsia="仿宋_GB2312" w:cs="宋体"/>
                <w:b/>
                <w:bCs/>
                <w:kern w:val="0"/>
                <w:szCs w:val="21"/>
              </w:rPr>
              <w:t>序号</w:t>
            </w:r>
          </w:p>
        </w:tc>
        <w:tc>
          <w:tcPr>
            <w:tcW w:w="713" w:type="dxa"/>
            <w:vAlign w:val="center"/>
          </w:tcPr>
          <w:p>
            <w:pPr>
              <w:widowControl/>
              <w:ind w:firstLine="0" w:firstLineChars="0"/>
              <w:jc w:val="center"/>
              <w:rPr>
                <w:rFonts w:hint="eastAsia" w:ascii="仿宋_GB2312" w:hAnsi="仿宋_GB2312" w:eastAsia="仿宋_GB2312" w:cs="宋体"/>
                <w:b/>
                <w:bCs/>
                <w:kern w:val="0"/>
                <w:szCs w:val="21"/>
              </w:rPr>
            </w:pPr>
            <w:r>
              <w:rPr>
                <w:rFonts w:hint="eastAsia" w:ascii="仿宋_GB2312" w:hAnsi="仿宋_GB2312" w:eastAsia="仿宋_GB2312" w:cs="宋体"/>
                <w:b/>
                <w:bCs/>
                <w:kern w:val="0"/>
                <w:szCs w:val="21"/>
              </w:rPr>
              <w:t>指标名称</w:t>
            </w:r>
          </w:p>
        </w:tc>
        <w:tc>
          <w:tcPr>
            <w:tcW w:w="1814" w:type="dxa"/>
            <w:vAlign w:val="center"/>
          </w:tcPr>
          <w:p>
            <w:pPr>
              <w:widowControl/>
              <w:ind w:firstLine="0" w:firstLineChars="0"/>
              <w:jc w:val="center"/>
              <w:rPr>
                <w:rFonts w:hint="eastAsia" w:ascii="仿宋_GB2312" w:hAnsi="仿宋_GB2312" w:eastAsia="仿宋_GB2312" w:cs="宋体"/>
                <w:b/>
                <w:bCs/>
                <w:kern w:val="0"/>
                <w:szCs w:val="21"/>
              </w:rPr>
            </w:pPr>
            <w:r>
              <w:rPr>
                <w:rFonts w:hint="eastAsia" w:ascii="仿宋_GB2312" w:hAnsi="仿宋_GB2312" w:eastAsia="仿宋_GB2312" w:cs="宋体"/>
                <w:b/>
                <w:bCs/>
                <w:kern w:val="0"/>
                <w:szCs w:val="21"/>
              </w:rPr>
              <w:t>评估要点</w:t>
            </w:r>
          </w:p>
        </w:tc>
        <w:tc>
          <w:tcPr>
            <w:tcW w:w="4640" w:type="dxa"/>
            <w:vAlign w:val="center"/>
          </w:tcPr>
          <w:p>
            <w:pPr>
              <w:widowControl/>
              <w:ind w:firstLine="0" w:firstLineChars="0"/>
              <w:jc w:val="center"/>
              <w:rPr>
                <w:rFonts w:hint="eastAsia" w:ascii="仿宋_GB2312" w:hAnsi="仿宋_GB2312" w:eastAsia="仿宋_GB2312" w:cs="宋体"/>
                <w:b/>
                <w:bCs/>
                <w:kern w:val="0"/>
                <w:szCs w:val="21"/>
              </w:rPr>
            </w:pPr>
            <w:r>
              <w:rPr>
                <w:rFonts w:hint="eastAsia" w:ascii="仿宋_GB2312" w:hAnsi="仿宋_GB2312" w:eastAsia="仿宋_GB2312" w:cs="宋体"/>
                <w:b/>
                <w:bCs/>
                <w:kern w:val="0"/>
                <w:szCs w:val="21"/>
              </w:rPr>
              <w:t>评分标准</w:t>
            </w:r>
          </w:p>
        </w:tc>
        <w:tc>
          <w:tcPr>
            <w:tcW w:w="567" w:type="dxa"/>
            <w:vAlign w:val="center"/>
          </w:tcPr>
          <w:p>
            <w:pPr>
              <w:widowControl/>
              <w:ind w:firstLine="0" w:firstLineChars="0"/>
              <w:jc w:val="center"/>
              <w:rPr>
                <w:rFonts w:hint="eastAsia" w:ascii="仿宋_GB2312" w:hAnsi="仿宋_GB2312" w:eastAsia="仿宋_GB2312" w:cs="宋体"/>
                <w:b/>
                <w:bCs/>
                <w:kern w:val="0"/>
                <w:szCs w:val="21"/>
              </w:rPr>
            </w:pPr>
            <w:r>
              <w:rPr>
                <w:rFonts w:hint="eastAsia" w:ascii="仿宋_GB2312" w:hAnsi="仿宋_GB2312" w:eastAsia="仿宋_GB2312" w:cs="宋体"/>
                <w:b/>
                <w:bCs/>
                <w:kern w:val="0"/>
                <w:szCs w:val="21"/>
              </w:rPr>
              <w:t>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562" w:type="dxa"/>
            <w:vAlign w:val="center"/>
          </w:tcPr>
          <w:p>
            <w:pPr>
              <w:widowControl/>
              <w:ind w:firstLine="0" w:firstLineChars="0"/>
              <w:jc w:val="center"/>
              <w:rPr>
                <w:rFonts w:hint="eastAsia" w:ascii="仿宋_GB2312" w:hAnsi="仿宋_GB2312" w:eastAsia="仿宋_GB2312" w:cs="宋体"/>
                <w:kern w:val="0"/>
                <w:szCs w:val="21"/>
              </w:rPr>
            </w:pPr>
            <w:r>
              <w:rPr>
                <w:rFonts w:hint="eastAsia" w:ascii="仿宋_GB2312" w:hAnsi="仿宋_GB2312" w:eastAsia="仿宋_GB2312" w:cs="宋体"/>
                <w:kern w:val="0"/>
                <w:szCs w:val="21"/>
              </w:rPr>
              <w:t>1</w:t>
            </w:r>
          </w:p>
        </w:tc>
        <w:tc>
          <w:tcPr>
            <w:tcW w:w="713" w:type="dxa"/>
            <w:vMerge w:val="restart"/>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服务成果数据要素完整性</w:t>
            </w:r>
          </w:p>
        </w:tc>
        <w:tc>
          <w:tcPr>
            <w:tcW w:w="1814" w:type="dxa"/>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检查全省水库溢洪道图层数据完整性</w:t>
            </w:r>
          </w:p>
        </w:tc>
        <w:tc>
          <w:tcPr>
            <w:tcW w:w="4640" w:type="dxa"/>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全省水库溢洪道图层中，缺少水库编码、水库名称、库型、溢洪道分类、所属流域、所属行政区划信息要素的，缺少1项，扣3分，满分9分。</w:t>
            </w:r>
          </w:p>
        </w:tc>
        <w:tc>
          <w:tcPr>
            <w:tcW w:w="567" w:type="dxa"/>
            <w:vAlign w:val="center"/>
          </w:tcPr>
          <w:p>
            <w:pPr>
              <w:widowControl/>
              <w:ind w:firstLine="0" w:firstLineChars="0"/>
              <w:jc w:val="center"/>
              <w:rPr>
                <w:rFonts w:hint="eastAsia" w:ascii="仿宋_GB2312" w:hAnsi="仿宋_GB2312" w:eastAsia="仿宋_GB2312" w:cs="宋体"/>
                <w:kern w:val="0"/>
                <w:szCs w:val="21"/>
              </w:rPr>
            </w:pPr>
            <w:r>
              <w:rPr>
                <w:rFonts w:hint="eastAsia" w:ascii="仿宋_GB2312" w:hAnsi="仿宋_GB2312" w:eastAsia="仿宋_GB2312" w:cs="宋体"/>
                <w:kern w:val="0"/>
                <w:szCs w:val="21"/>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562" w:type="dxa"/>
            <w:vAlign w:val="center"/>
          </w:tcPr>
          <w:p>
            <w:pPr>
              <w:widowControl/>
              <w:ind w:firstLine="0" w:firstLineChars="0"/>
              <w:jc w:val="center"/>
              <w:rPr>
                <w:rFonts w:hint="eastAsia" w:ascii="仿宋_GB2312" w:hAnsi="仿宋_GB2312" w:eastAsia="仿宋_GB2312" w:cs="宋体"/>
                <w:kern w:val="0"/>
                <w:szCs w:val="21"/>
              </w:rPr>
            </w:pPr>
            <w:r>
              <w:rPr>
                <w:rFonts w:hint="eastAsia" w:ascii="仿宋_GB2312" w:hAnsi="仿宋_GB2312" w:eastAsia="仿宋_GB2312" w:cs="宋体"/>
                <w:kern w:val="0"/>
                <w:szCs w:val="21"/>
              </w:rPr>
              <w:t>2</w:t>
            </w:r>
          </w:p>
        </w:tc>
        <w:tc>
          <w:tcPr>
            <w:tcW w:w="713" w:type="dxa"/>
            <w:vMerge w:val="continue"/>
            <w:vAlign w:val="center"/>
          </w:tcPr>
          <w:p>
            <w:pPr>
              <w:widowControl/>
              <w:ind w:firstLine="0" w:firstLineChars="0"/>
              <w:jc w:val="left"/>
              <w:rPr>
                <w:rFonts w:hint="eastAsia" w:ascii="仿宋_GB2312" w:hAnsi="仿宋_GB2312" w:eastAsia="仿宋_GB2312" w:cs="宋体"/>
                <w:kern w:val="0"/>
                <w:szCs w:val="21"/>
              </w:rPr>
            </w:pPr>
          </w:p>
        </w:tc>
        <w:tc>
          <w:tcPr>
            <w:tcW w:w="1814" w:type="dxa"/>
            <w:vMerge w:val="restart"/>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检查水系图层数据完整性</w:t>
            </w:r>
          </w:p>
        </w:tc>
        <w:tc>
          <w:tcPr>
            <w:tcW w:w="4640" w:type="dxa"/>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水系图层中，缺失河源经度、河源纬度、河口经度、河口纬度、河流级别、所属流域、行政区划信息要素的，缺少1项，扣3分，满分9分。</w:t>
            </w:r>
          </w:p>
        </w:tc>
        <w:tc>
          <w:tcPr>
            <w:tcW w:w="567" w:type="dxa"/>
            <w:vAlign w:val="center"/>
          </w:tcPr>
          <w:p>
            <w:pPr>
              <w:widowControl/>
              <w:ind w:firstLine="0" w:firstLineChars="0"/>
              <w:jc w:val="center"/>
              <w:rPr>
                <w:rFonts w:hint="eastAsia" w:ascii="仿宋_GB2312" w:hAnsi="仿宋_GB2312" w:eastAsia="仿宋_GB2312" w:cs="宋体"/>
                <w:kern w:val="0"/>
                <w:szCs w:val="21"/>
              </w:rPr>
            </w:pPr>
            <w:r>
              <w:rPr>
                <w:rFonts w:hint="eastAsia" w:ascii="仿宋_GB2312" w:hAnsi="仿宋_GB2312" w:eastAsia="仿宋_GB2312" w:cs="宋体"/>
                <w:kern w:val="0"/>
                <w:szCs w:val="21"/>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dxa"/>
            <w:vAlign w:val="center"/>
          </w:tcPr>
          <w:p>
            <w:pPr>
              <w:widowControl/>
              <w:ind w:firstLine="0" w:firstLineChars="0"/>
              <w:jc w:val="center"/>
              <w:rPr>
                <w:rFonts w:hint="eastAsia" w:ascii="仿宋_GB2312" w:hAnsi="仿宋_GB2312" w:eastAsia="仿宋_GB2312" w:cs="宋体"/>
                <w:kern w:val="0"/>
                <w:szCs w:val="21"/>
              </w:rPr>
            </w:pPr>
            <w:r>
              <w:rPr>
                <w:rFonts w:hint="eastAsia" w:ascii="仿宋_GB2312" w:hAnsi="仿宋_GB2312" w:eastAsia="仿宋_GB2312" w:cs="宋体"/>
                <w:kern w:val="0"/>
                <w:szCs w:val="21"/>
              </w:rPr>
              <w:t>3</w:t>
            </w:r>
          </w:p>
        </w:tc>
        <w:tc>
          <w:tcPr>
            <w:tcW w:w="713" w:type="dxa"/>
            <w:vMerge w:val="continue"/>
            <w:vAlign w:val="center"/>
          </w:tcPr>
          <w:p>
            <w:pPr>
              <w:widowControl/>
              <w:ind w:firstLine="0" w:firstLineChars="0"/>
              <w:jc w:val="left"/>
              <w:rPr>
                <w:rFonts w:hint="eastAsia" w:ascii="仿宋_GB2312" w:hAnsi="仿宋_GB2312" w:eastAsia="仿宋_GB2312" w:cs="宋体"/>
                <w:kern w:val="0"/>
                <w:szCs w:val="21"/>
              </w:rPr>
            </w:pPr>
          </w:p>
        </w:tc>
        <w:tc>
          <w:tcPr>
            <w:tcW w:w="1814" w:type="dxa"/>
            <w:vMerge w:val="continue"/>
            <w:vAlign w:val="center"/>
          </w:tcPr>
          <w:p>
            <w:pPr>
              <w:widowControl/>
              <w:ind w:firstLine="0" w:firstLineChars="0"/>
              <w:jc w:val="left"/>
              <w:rPr>
                <w:rFonts w:hint="eastAsia" w:ascii="仿宋_GB2312" w:hAnsi="仿宋_GB2312" w:eastAsia="仿宋_GB2312" w:cs="宋体"/>
                <w:kern w:val="0"/>
                <w:szCs w:val="21"/>
              </w:rPr>
            </w:pPr>
          </w:p>
        </w:tc>
        <w:tc>
          <w:tcPr>
            <w:tcW w:w="4640" w:type="dxa"/>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水系图层中，3267个小型水库与河流连通，缺少1项，扣3分，满分15分。</w:t>
            </w:r>
          </w:p>
        </w:tc>
        <w:tc>
          <w:tcPr>
            <w:tcW w:w="567" w:type="dxa"/>
            <w:vAlign w:val="center"/>
          </w:tcPr>
          <w:p>
            <w:pPr>
              <w:widowControl/>
              <w:ind w:firstLine="0" w:firstLineChars="0"/>
              <w:jc w:val="center"/>
              <w:rPr>
                <w:rFonts w:hint="eastAsia" w:ascii="仿宋_GB2312" w:hAnsi="仿宋_GB2312" w:eastAsia="仿宋_GB2312" w:cs="宋体"/>
                <w:kern w:val="0"/>
                <w:szCs w:val="21"/>
              </w:rPr>
            </w:pPr>
            <w:r>
              <w:rPr>
                <w:rFonts w:hint="eastAsia" w:ascii="仿宋_GB2312" w:hAnsi="仿宋_GB2312" w:eastAsia="仿宋_GB2312" w:cs="宋体"/>
                <w:kern w:val="0"/>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562" w:type="dxa"/>
            <w:vAlign w:val="center"/>
          </w:tcPr>
          <w:p>
            <w:pPr>
              <w:widowControl/>
              <w:ind w:firstLine="0" w:firstLineChars="0"/>
              <w:jc w:val="center"/>
              <w:rPr>
                <w:rFonts w:hint="eastAsia" w:ascii="仿宋_GB2312" w:hAnsi="仿宋_GB2312" w:eastAsia="仿宋_GB2312" w:cs="宋体"/>
                <w:kern w:val="0"/>
                <w:szCs w:val="21"/>
              </w:rPr>
            </w:pPr>
            <w:r>
              <w:rPr>
                <w:rFonts w:hint="eastAsia" w:ascii="仿宋_GB2312" w:hAnsi="仿宋_GB2312" w:eastAsia="仿宋_GB2312" w:cs="宋体"/>
                <w:kern w:val="0"/>
                <w:szCs w:val="21"/>
              </w:rPr>
              <w:t>4</w:t>
            </w:r>
          </w:p>
        </w:tc>
        <w:tc>
          <w:tcPr>
            <w:tcW w:w="713" w:type="dxa"/>
            <w:vMerge w:val="restart"/>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服务成果数据要素绘制准确性</w:t>
            </w:r>
          </w:p>
        </w:tc>
        <w:tc>
          <w:tcPr>
            <w:tcW w:w="1814" w:type="dxa"/>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检查服务成果数据要素绘制的属性精度</w:t>
            </w:r>
          </w:p>
        </w:tc>
        <w:tc>
          <w:tcPr>
            <w:tcW w:w="4640" w:type="dxa"/>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供应商提供的服务成果中出现属性精度错误、数据实体重复且属性信息不一致的，每出现1次，扣1分，满分6分。</w:t>
            </w:r>
          </w:p>
        </w:tc>
        <w:tc>
          <w:tcPr>
            <w:tcW w:w="567" w:type="dxa"/>
            <w:vAlign w:val="center"/>
          </w:tcPr>
          <w:p>
            <w:pPr>
              <w:widowControl/>
              <w:ind w:firstLine="0" w:firstLineChars="0"/>
              <w:jc w:val="center"/>
              <w:rPr>
                <w:rFonts w:hint="eastAsia" w:ascii="仿宋_GB2312" w:hAnsi="仿宋_GB2312" w:eastAsia="仿宋_GB2312" w:cs="宋体"/>
                <w:kern w:val="0"/>
                <w:szCs w:val="21"/>
              </w:rPr>
            </w:pPr>
            <w:r>
              <w:rPr>
                <w:rFonts w:hint="eastAsia" w:ascii="仿宋_GB2312" w:hAnsi="仿宋_GB2312" w:eastAsia="仿宋_GB2312" w:cs="宋体"/>
                <w:kern w:val="0"/>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562" w:type="dxa"/>
            <w:vAlign w:val="center"/>
          </w:tcPr>
          <w:p>
            <w:pPr>
              <w:widowControl/>
              <w:ind w:firstLine="0" w:firstLineChars="0"/>
              <w:jc w:val="center"/>
              <w:rPr>
                <w:rFonts w:hint="eastAsia" w:ascii="仿宋_GB2312" w:hAnsi="仿宋_GB2312" w:eastAsia="仿宋_GB2312" w:cs="宋体"/>
                <w:kern w:val="0"/>
                <w:szCs w:val="21"/>
              </w:rPr>
            </w:pPr>
            <w:r>
              <w:rPr>
                <w:rFonts w:hint="eastAsia" w:ascii="仿宋_GB2312" w:hAnsi="仿宋_GB2312" w:eastAsia="仿宋_GB2312" w:cs="宋体"/>
                <w:kern w:val="0"/>
                <w:szCs w:val="21"/>
              </w:rPr>
              <w:t>5</w:t>
            </w:r>
          </w:p>
        </w:tc>
        <w:tc>
          <w:tcPr>
            <w:tcW w:w="713" w:type="dxa"/>
            <w:vMerge w:val="continue"/>
            <w:vAlign w:val="center"/>
          </w:tcPr>
          <w:p>
            <w:pPr>
              <w:widowControl/>
              <w:ind w:firstLine="0" w:firstLineChars="0"/>
              <w:jc w:val="left"/>
              <w:rPr>
                <w:rFonts w:hint="eastAsia" w:ascii="仿宋_GB2312" w:hAnsi="仿宋_GB2312" w:eastAsia="仿宋_GB2312" w:cs="宋体"/>
                <w:kern w:val="0"/>
                <w:szCs w:val="21"/>
              </w:rPr>
            </w:pPr>
          </w:p>
        </w:tc>
        <w:tc>
          <w:tcPr>
            <w:tcW w:w="1814" w:type="dxa"/>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检查服务成果数据要素绘制的完整性</w:t>
            </w:r>
          </w:p>
        </w:tc>
        <w:tc>
          <w:tcPr>
            <w:tcW w:w="4640" w:type="dxa"/>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供应商提供的服务成果中出现遗漏合并的面要素的，每出现1次，扣1分，满分5分。</w:t>
            </w:r>
          </w:p>
        </w:tc>
        <w:tc>
          <w:tcPr>
            <w:tcW w:w="567" w:type="dxa"/>
            <w:vAlign w:val="center"/>
          </w:tcPr>
          <w:p>
            <w:pPr>
              <w:widowControl/>
              <w:ind w:firstLine="0" w:firstLineChars="0"/>
              <w:jc w:val="center"/>
              <w:rPr>
                <w:rFonts w:hint="eastAsia" w:ascii="仿宋_GB2312" w:hAnsi="仿宋_GB2312" w:eastAsia="仿宋_GB2312" w:cs="宋体"/>
                <w:kern w:val="0"/>
                <w:szCs w:val="21"/>
              </w:rPr>
            </w:pPr>
            <w:r>
              <w:rPr>
                <w:rFonts w:hint="eastAsia" w:ascii="仿宋_GB2312" w:hAnsi="仿宋_GB2312" w:eastAsia="仿宋_GB2312" w:cs="宋体"/>
                <w:kern w:val="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562" w:type="dxa"/>
            <w:vAlign w:val="center"/>
          </w:tcPr>
          <w:p>
            <w:pPr>
              <w:widowControl/>
              <w:ind w:firstLine="0" w:firstLineChars="0"/>
              <w:jc w:val="center"/>
              <w:rPr>
                <w:rFonts w:hint="eastAsia" w:ascii="仿宋_GB2312" w:hAnsi="仿宋_GB2312" w:eastAsia="仿宋_GB2312" w:cs="宋体"/>
                <w:kern w:val="0"/>
                <w:szCs w:val="21"/>
              </w:rPr>
            </w:pPr>
            <w:r>
              <w:rPr>
                <w:rFonts w:hint="eastAsia" w:ascii="仿宋_GB2312" w:hAnsi="仿宋_GB2312" w:eastAsia="仿宋_GB2312" w:cs="宋体"/>
                <w:kern w:val="0"/>
                <w:szCs w:val="21"/>
              </w:rPr>
              <w:t>6</w:t>
            </w:r>
          </w:p>
        </w:tc>
        <w:tc>
          <w:tcPr>
            <w:tcW w:w="713" w:type="dxa"/>
            <w:vMerge w:val="continue"/>
            <w:vAlign w:val="center"/>
          </w:tcPr>
          <w:p>
            <w:pPr>
              <w:widowControl/>
              <w:ind w:firstLine="0" w:firstLineChars="0"/>
              <w:jc w:val="left"/>
              <w:rPr>
                <w:rFonts w:hint="eastAsia" w:ascii="仿宋_GB2312" w:hAnsi="仿宋_GB2312" w:eastAsia="仿宋_GB2312" w:cs="宋体"/>
                <w:kern w:val="0"/>
                <w:szCs w:val="21"/>
              </w:rPr>
            </w:pPr>
          </w:p>
        </w:tc>
        <w:tc>
          <w:tcPr>
            <w:tcW w:w="1814" w:type="dxa"/>
            <w:vMerge w:val="restart"/>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检查服务成果数据要素绘制的可用性</w:t>
            </w:r>
          </w:p>
        </w:tc>
        <w:tc>
          <w:tcPr>
            <w:tcW w:w="4640" w:type="dxa"/>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供应商提供的全省水库溢洪道数据，须在水利一张图现有水库图层中找到匹配的水库，每出现1次不匹配，扣1分，满分10分。</w:t>
            </w:r>
          </w:p>
        </w:tc>
        <w:tc>
          <w:tcPr>
            <w:tcW w:w="567" w:type="dxa"/>
            <w:vAlign w:val="center"/>
          </w:tcPr>
          <w:p>
            <w:pPr>
              <w:widowControl/>
              <w:ind w:firstLine="0" w:firstLineChars="0"/>
              <w:jc w:val="center"/>
              <w:rPr>
                <w:rFonts w:hint="eastAsia" w:ascii="仿宋_GB2312" w:hAnsi="仿宋_GB2312" w:eastAsia="仿宋_GB2312" w:cs="宋体"/>
                <w:kern w:val="0"/>
                <w:szCs w:val="21"/>
              </w:rPr>
            </w:pPr>
            <w:r>
              <w:rPr>
                <w:rFonts w:hint="eastAsia" w:ascii="仿宋_GB2312" w:hAnsi="仿宋_GB2312" w:eastAsia="仿宋_GB2312" w:cs="宋体"/>
                <w:kern w:val="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562" w:type="dxa"/>
            <w:vAlign w:val="center"/>
          </w:tcPr>
          <w:p>
            <w:pPr>
              <w:widowControl/>
              <w:ind w:firstLine="0" w:firstLineChars="0"/>
              <w:jc w:val="center"/>
              <w:rPr>
                <w:rFonts w:hint="eastAsia" w:ascii="仿宋_GB2312" w:hAnsi="仿宋_GB2312" w:eastAsia="仿宋_GB2312" w:cs="宋体"/>
                <w:kern w:val="0"/>
                <w:szCs w:val="21"/>
              </w:rPr>
            </w:pPr>
            <w:r>
              <w:rPr>
                <w:rFonts w:hint="eastAsia" w:ascii="仿宋_GB2312" w:hAnsi="仿宋_GB2312" w:eastAsia="仿宋_GB2312" w:cs="宋体"/>
                <w:kern w:val="0"/>
                <w:szCs w:val="21"/>
              </w:rPr>
              <w:t>7</w:t>
            </w:r>
          </w:p>
        </w:tc>
        <w:tc>
          <w:tcPr>
            <w:tcW w:w="713" w:type="dxa"/>
            <w:vMerge w:val="continue"/>
            <w:vAlign w:val="center"/>
          </w:tcPr>
          <w:p>
            <w:pPr>
              <w:widowControl/>
              <w:ind w:firstLine="0" w:firstLineChars="0"/>
              <w:jc w:val="left"/>
              <w:rPr>
                <w:rFonts w:hint="eastAsia" w:ascii="仿宋_GB2312" w:hAnsi="仿宋_GB2312" w:eastAsia="仿宋_GB2312" w:cs="宋体"/>
                <w:kern w:val="0"/>
                <w:szCs w:val="21"/>
              </w:rPr>
            </w:pPr>
          </w:p>
        </w:tc>
        <w:tc>
          <w:tcPr>
            <w:tcW w:w="1814" w:type="dxa"/>
            <w:vMerge w:val="continue"/>
            <w:vAlign w:val="center"/>
          </w:tcPr>
          <w:p>
            <w:pPr>
              <w:widowControl/>
              <w:ind w:firstLine="0" w:firstLineChars="0"/>
              <w:jc w:val="left"/>
              <w:rPr>
                <w:rFonts w:hint="eastAsia" w:ascii="仿宋_GB2312" w:hAnsi="仿宋_GB2312" w:eastAsia="仿宋_GB2312" w:cs="宋体"/>
                <w:kern w:val="0"/>
                <w:szCs w:val="21"/>
              </w:rPr>
            </w:pPr>
          </w:p>
        </w:tc>
        <w:tc>
          <w:tcPr>
            <w:tcW w:w="4640" w:type="dxa"/>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供应商提供的全省水库溢洪道图层，在水利一张图上实现要素信息展示，不满足扣3分，满分3分。</w:t>
            </w:r>
          </w:p>
        </w:tc>
        <w:tc>
          <w:tcPr>
            <w:tcW w:w="567" w:type="dxa"/>
            <w:vAlign w:val="center"/>
          </w:tcPr>
          <w:p>
            <w:pPr>
              <w:widowControl/>
              <w:ind w:firstLine="0" w:firstLineChars="0"/>
              <w:jc w:val="center"/>
              <w:rPr>
                <w:rFonts w:hint="eastAsia" w:ascii="仿宋_GB2312" w:hAnsi="仿宋_GB2312" w:eastAsia="仿宋_GB2312" w:cs="宋体"/>
                <w:kern w:val="0"/>
                <w:szCs w:val="21"/>
              </w:rPr>
            </w:pPr>
            <w:r>
              <w:rPr>
                <w:rFonts w:hint="eastAsia" w:ascii="仿宋_GB2312" w:hAnsi="仿宋_GB2312" w:eastAsia="仿宋_GB2312" w:cs="宋体"/>
                <w:kern w:val="0"/>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dxa"/>
            <w:vAlign w:val="center"/>
          </w:tcPr>
          <w:p>
            <w:pPr>
              <w:widowControl/>
              <w:ind w:firstLine="0" w:firstLineChars="0"/>
              <w:jc w:val="center"/>
              <w:rPr>
                <w:rFonts w:hint="eastAsia" w:ascii="仿宋_GB2312" w:hAnsi="仿宋_GB2312" w:eastAsia="仿宋_GB2312" w:cs="宋体"/>
                <w:kern w:val="0"/>
                <w:szCs w:val="21"/>
              </w:rPr>
            </w:pPr>
            <w:r>
              <w:rPr>
                <w:rFonts w:hint="eastAsia" w:ascii="仿宋_GB2312" w:hAnsi="仿宋_GB2312" w:eastAsia="仿宋_GB2312" w:cs="宋体"/>
                <w:kern w:val="0"/>
                <w:szCs w:val="21"/>
              </w:rPr>
              <w:t>8</w:t>
            </w:r>
          </w:p>
        </w:tc>
        <w:tc>
          <w:tcPr>
            <w:tcW w:w="713" w:type="dxa"/>
            <w:vMerge w:val="continue"/>
            <w:vAlign w:val="center"/>
          </w:tcPr>
          <w:p>
            <w:pPr>
              <w:widowControl/>
              <w:ind w:firstLine="0" w:firstLineChars="0"/>
              <w:jc w:val="left"/>
              <w:rPr>
                <w:rFonts w:hint="eastAsia" w:ascii="仿宋_GB2312" w:hAnsi="仿宋_GB2312" w:eastAsia="仿宋_GB2312" w:cs="宋体"/>
                <w:kern w:val="0"/>
                <w:szCs w:val="21"/>
              </w:rPr>
            </w:pPr>
          </w:p>
        </w:tc>
        <w:tc>
          <w:tcPr>
            <w:tcW w:w="1814" w:type="dxa"/>
            <w:vMerge w:val="continue"/>
            <w:vAlign w:val="center"/>
          </w:tcPr>
          <w:p>
            <w:pPr>
              <w:widowControl/>
              <w:ind w:firstLine="0" w:firstLineChars="0"/>
              <w:jc w:val="left"/>
              <w:rPr>
                <w:rFonts w:hint="eastAsia" w:ascii="仿宋_GB2312" w:hAnsi="仿宋_GB2312" w:eastAsia="仿宋_GB2312" w:cs="宋体"/>
                <w:kern w:val="0"/>
                <w:szCs w:val="21"/>
              </w:rPr>
            </w:pPr>
          </w:p>
        </w:tc>
        <w:tc>
          <w:tcPr>
            <w:tcW w:w="4640" w:type="dxa"/>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供应商提供的水系图层：在水利一张图上实现要素信息展示，不满足扣3分。满分3分。</w:t>
            </w:r>
          </w:p>
        </w:tc>
        <w:tc>
          <w:tcPr>
            <w:tcW w:w="567" w:type="dxa"/>
            <w:vAlign w:val="center"/>
          </w:tcPr>
          <w:p>
            <w:pPr>
              <w:widowControl/>
              <w:ind w:firstLine="0" w:firstLineChars="0"/>
              <w:jc w:val="center"/>
              <w:rPr>
                <w:rFonts w:hint="eastAsia" w:ascii="仿宋_GB2312" w:hAnsi="仿宋_GB2312" w:eastAsia="仿宋_GB2312" w:cs="宋体"/>
                <w:kern w:val="0"/>
                <w:szCs w:val="21"/>
              </w:rPr>
            </w:pPr>
            <w:r>
              <w:rPr>
                <w:rFonts w:hint="eastAsia" w:ascii="仿宋_GB2312" w:hAnsi="仿宋_GB2312" w:eastAsia="仿宋_GB2312" w:cs="宋体"/>
                <w:kern w:val="0"/>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562" w:type="dxa"/>
            <w:vAlign w:val="center"/>
          </w:tcPr>
          <w:p>
            <w:pPr>
              <w:widowControl/>
              <w:ind w:firstLine="0" w:firstLineChars="0"/>
              <w:jc w:val="center"/>
              <w:rPr>
                <w:rFonts w:hint="eastAsia" w:ascii="仿宋_GB2312" w:hAnsi="仿宋_GB2312" w:eastAsia="仿宋_GB2312" w:cs="宋体"/>
                <w:kern w:val="0"/>
                <w:szCs w:val="21"/>
              </w:rPr>
            </w:pPr>
            <w:r>
              <w:rPr>
                <w:rFonts w:hint="eastAsia" w:ascii="仿宋_GB2312" w:hAnsi="仿宋_GB2312" w:eastAsia="仿宋_GB2312" w:cs="宋体"/>
                <w:kern w:val="0"/>
                <w:szCs w:val="21"/>
              </w:rPr>
              <w:t>9</w:t>
            </w:r>
          </w:p>
        </w:tc>
        <w:tc>
          <w:tcPr>
            <w:tcW w:w="713" w:type="dxa"/>
            <w:vMerge w:val="continue"/>
            <w:vAlign w:val="center"/>
          </w:tcPr>
          <w:p>
            <w:pPr>
              <w:widowControl/>
              <w:ind w:firstLine="0" w:firstLineChars="0"/>
              <w:jc w:val="left"/>
              <w:rPr>
                <w:rFonts w:hint="eastAsia" w:ascii="仿宋_GB2312" w:hAnsi="仿宋_GB2312" w:eastAsia="仿宋_GB2312" w:cs="宋体"/>
                <w:kern w:val="0"/>
                <w:szCs w:val="21"/>
              </w:rPr>
            </w:pPr>
          </w:p>
        </w:tc>
        <w:tc>
          <w:tcPr>
            <w:tcW w:w="1814" w:type="dxa"/>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检查服务成果拓扑关系的准确性</w:t>
            </w:r>
          </w:p>
        </w:tc>
        <w:tc>
          <w:tcPr>
            <w:tcW w:w="4640" w:type="dxa"/>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供应商提供的服务成果出现以下任一情况：多边形未闭合；出现不必要的悬挂点、假节点；结点、弧段、多边形之间的连通、邻接、包含等拓扑信息未能正确表达的，每出现1次，扣2分，满分14分。</w:t>
            </w:r>
          </w:p>
        </w:tc>
        <w:tc>
          <w:tcPr>
            <w:tcW w:w="567" w:type="dxa"/>
            <w:vAlign w:val="center"/>
          </w:tcPr>
          <w:p>
            <w:pPr>
              <w:widowControl/>
              <w:ind w:firstLine="0" w:firstLineChars="0"/>
              <w:jc w:val="center"/>
              <w:rPr>
                <w:rFonts w:hint="eastAsia" w:ascii="仿宋_GB2312" w:hAnsi="仿宋_GB2312" w:eastAsia="仿宋_GB2312" w:cs="宋体"/>
                <w:kern w:val="0"/>
                <w:szCs w:val="21"/>
              </w:rPr>
            </w:pPr>
            <w:r>
              <w:rPr>
                <w:rFonts w:hint="eastAsia" w:ascii="仿宋_GB2312" w:hAnsi="仿宋_GB2312" w:eastAsia="仿宋_GB2312" w:cs="宋体"/>
                <w:kern w:val="0"/>
                <w:szCs w:val="21"/>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562" w:type="dxa"/>
            <w:vAlign w:val="center"/>
          </w:tcPr>
          <w:p>
            <w:pPr>
              <w:widowControl/>
              <w:ind w:firstLine="0" w:firstLineChars="0"/>
              <w:jc w:val="center"/>
              <w:rPr>
                <w:rFonts w:hint="eastAsia" w:ascii="仿宋_GB2312" w:hAnsi="仿宋_GB2312" w:eastAsia="仿宋_GB2312" w:cs="宋体"/>
                <w:kern w:val="0"/>
                <w:szCs w:val="21"/>
              </w:rPr>
            </w:pPr>
            <w:r>
              <w:rPr>
                <w:rFonts w:hint="eastAsia" w:ascii="仿宋_GB2312" w:hAnsi="仿宋_GB2312" w:eastAsia="仿宋_GB2312" w:cs="宋体"/>
                <w:kern w:val="0"/>
                <w:szCs w:val="21"/>
              </w:rPr>
              <w:t>10</w:t>
            </w:r>
          </w:p>
        </w:tc>
        <w:tc>
          <w:tcPr>
            <w:tcW w:w="713" w:type="dxa"/>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服务满意度</w:t>
            </w:r>
          </w:p>
        </w:tc>
        <w:tc>
          <w:tcPr>
            <w:tcW w:w="1814" w:type="dxa"/>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在服务过程中，出现服务投诉</w:t>
            </w:r>
          </w:p>
        </w:tc>
        <w:tc>
          <w:tcPr>
            <w:tcW w:w="4640" w:type="dxa"/>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服务人员在保障本项目成果数据的更新、上图、入库、应用对接及福建省水利一张图应用服务平台图层数据更新服务等过程中，每投诉一次并经核实属于服务方问题引起的扣2分，满分10分，扣完为止。</w:t>
            </w:r>
          </w:p>
        </w:tc>
        <w:tc>
          <w:tcPr>
            <w:tcW w:w="567" w:type="dxa"/>
            <w:vAlign w:val="center"/>
          </w:tcPr>
          <w:p>
            <w:pPr>
              <w:widowControl/>
              <w:ind w:firstLine="0" w:firstLineChars="0"/>
              <w:jc w:val="center"/>
              <w:rPr>
                <w:rFonts w:hint="eastAsia" w:ascii="仿宋_GB2312" w:hAnsi="仿宋_GB2312" w:eastAsia="仿宋_GB2312" w:cs="宋体"/>
                <w:kern w:val="0"/>
                <w:szCs w:val="21"/>
              </w:rPr>
            </w:pPr>
            <w:r>
              <w:rPr>
                <w:rFonts w:hint="eastAsia" w:ascii="仿宋_GB2312" w:hAnsi="仿宋_GB2312" w:eastAsia="仿宋_GB2312" w:cs="宋体"/>
                <w:kern w:val="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562" w:type="dxa"/>
            <w:vAlign w:val="center"/>
          </w:tcPr>
          <w:p>
            <w:pPr>
              <w:widowControl/>
              <w:ind w:firstLine="0" w:firstLineChars="0"/>
              <w:jc w:val="center"/>
              <w:rPr>
                <w:rFonts w:hint="eastAsia" w:ascii="仿宋_GB2312" w:hAnsi="仿宋_GB2312" w:eastAsia="仿宋_GB2312" w:cs="宋体"/>
                <w:kern w:val="0"/>
                <w:szCs w:val="21"/>
              </w:rPr>
            </w:pPr>
            <w:r>
              <w:rPr>
                <w:rFonts w:hint="eastAsia" w:ascii="仿宋_GB2312" w:hAnsi="仿宋_GB2312" w:eastAsia="仿宋_GB2312" w:cs="宋体"/>
                <w:kern w:val="0"/>
                <w:szCs w:val="21"/>
              </w:rPr>
              <w:t>11</w:t>
            </w:r>
          </w:p>
        </w:tc>
        <w:tc>
          <w:tcPr>
            <w:tcW w:w="713" w:type="dxa"/>
            <w:vMerge w:val="restart"/>
            <w:noWrap/>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人员考核</w:t>
            </w:r>
          </w:p>
        </w:tc>
        <w:tc>
          <w:tcPr>
            <w:tcW w:w="1814" w:type="dxa"/>
            <w:noWrap/>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服务团队稳定性</w:t>
            </w:r>
          </w:p>
        </w:tc>
        <w:tc>
          <w:tcPr>
            <w:tcW w:w="4640" w:type="dxa"/>
            <w:noWrap/>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服务团队稳定性保障不力，人员变更未提前5个工作日向业主提交书面申请的扣3分；服务期内人员变动大于1人次的扣3分。满分6分，扣完为止。</w:t>
            </w:r>
          </w:p>
        </w:tc>
        <w:tc>
          <w:tcPr>
            <w:tcW w:w="567" w:type="dxa"/>
            <w:noWrap/>
            <w:vAlign w:val="center"/>
          </w:tcPr>
          <w:p>
            <w:pPr>
              <w:widowControl/>
              <w:ind w:firstLine="0" w:firstLineChars="0"/>
              <w:jc w:val="center"/>
              <w:rPr>
                <w:rFonts w:hint="eastAsia" w:ascii="仿宋_GB2312" w:hAnsi="仿宋_GB2312" w:eastAsia="仿宋_GB2312" w:cs="宋体"/>
                <w:kern w:val="0"/>
                <w:szCs w:val="21"/>
              </w:rPr>
            </w:pPr>
            <w:r>
              <w:rPr>
                <w:rFonts w:hint="eastAsia" w:ascii="仿宋_GB2312" w:hAnsi="仿宋_GB2312" w:eastAsia="仿宋_GB2312" w:cs="宋体"/>
                <w:kern w:val="0"/>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dxa"/>
            <w:vAlign w:val="center"/>
          </w:tcPr>
          <w:p>
            <w:pPr>
              <w:widowControl/>
              <w:ind w:firstLine="0" w:firstLineChars="0"/>
              <w:jc w:val="center"/>
              <w:rPr>
                <w:rFonts w:hint="eastAsia" w:ascii="仿宋_GB2312" w:hAnsi="仿宋_GB2312" w:eastAsia="仿宋_GB2312" w:cs="宋体"/>
                <w:kern w:val="0"/>
                <w:szCs w:val="21"/>
              </w:rPr>
            </w:pPr>
            <w:r>
              <w:rPr>
                <w:rFonts w:hint="eastAsia" w:ascii="仿宋_GB2312" w:hAnsi="仿宋_GB2312" w:eastAsia="仿宋_GB2312" w:cs="宋体"/>
                <w:kern w:val="0"/>
                <w:szCs w:val="21"/>
              </w:rPr>
              <w:t>12</w:t>
            </w:r>
          </w:p>
        </w:tc>
        <w:tc>
          <w:tcPr>
            <w:tcW w:w="713" w:type="dxa"/>
            <w:vMerge w:val="continue"/>
            <w:vAlign w:val="center"/>
          </w:tcPr>
          <w:p>
            <w:pPr>
              <w:widowControl/>
              <w:ind w:firstLine="0" w:firstLineChars="0"/>
              <w:jc w:val="left"/>
              <w:rPr>
                <w:rFonts w:hint="eastAsia" w:ascii="仿宋_GB2312" w:hAnsi="仿宋_GB2312" w:eastAsia="仿宋_GB2312" w:cs="宋体"/>
                <w:kern w:val="0"/>
                <w:szCs w:val="21"/>
              </w:rPr>
            </w:pPr>
          </w:p>
        </w:tc>
        <w:tc>
          <w:tcPr>
            <w:tcW w:w="1814" w:type="dxa"/>
            <w:noWrap/>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考勤满意度</w:t>
            </w:r>
          </w:p>
        </w:tc>
        <w:tc>
          <w:tcPr>
            <w:tcW w:w="4640" w:type="dxa"/>
            <w:noWrap/>
            <w:vAlign w:val="center"/>
          </w:tcPr>
          <w:p>
            <w:pPr>
              <w:widowControl/>
              <w:ind w:firstLine="0" w:firstLineChars="0"/>
              <w:rPr>
                <w:rFonts w:hint="eastAsia" w:ascii="仿宋_GB2312" w:hAnsi="仿宋_GB2312" w:eastAsia="仿宋_GB2312" w:cs="宋体"/>
                <w:kern w:val="0"/>
                <w:szCs w:val="21"/>
              </w:rPr>
            </w:pPr>
            <w:r>
              <w:rPr>
                <w:rFonts w:hint="eastAsia" w:ascii="仿宋_GB2312" w:hAnsi="仿宋_GB2312" w:eastAsia="仿宋_GB2312" w:cs="宋体"/>
                <w:kern w:val="0"/>
                <w:szCs w:val="21"/>
              </w:rPr>
              <w:t>根据现场服务人员在岗情况、应急响应等服务情况，在1-10分内进行评分，满分10分。</w:t>
            </w:r>
          </w:p>
        </w:tc>
        <w:tc>
          <w:tcPr>
            <w:tcW w:w="567" w:type="dxa"/>
            <w:noWrap/>
            <w:vAlign w:val="center"/>
          </w:tcPr>
          <w:p>
            <w:pPr>
              <w:widowControl/>
              <w:ind w:firstLine="0" w:firstLineChars="0"/>
              <w:jc w:val="center"/>
              <w:rPr>
                <w:rFonts w:hint="eastAsia" w:ascii="仿宋_GB2312" w:hAnsi="仿宋_GB2312" w:eastAsia="仿宋_GB2312" w:cs="宋体"/>
                <w:kern w:val="0"/>
                <w:szCs w:val="21"/>
              </w:rPr>
            </w:pPr>
            <w:r>
              <w:rPr>
                <w:rFonts w:hint="eastAsia" w:ascii="仿宋_GB2312" w:hAnsi="仿宋_GB2312" w:eastAsia="仿宋_GB2312" w:cs="宋体"/>
                <w:kern w:val="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dxa"/>
            <w:vAlign w:val="center"/>
          </w:tcPr>
          <w:p>
            <w:pPr>
              <w:widowControl/>
              <w:ind w:firstLine="0" w:firstLineChars="0"/>
              <w:jc w:val="center"/>
              <w:rPr>
                <w:rFonts w:hint="eastAsia" w:ascii="仿宋_GB2312" w:hAnsi="仿宋_GB2312" w:eastAsia="仿宋_GB2312" w:cs="宋体"/>
                <w:kern w:val="0"/>
                <w:szCs w:val="21"/>
              </w:rPr>
            </w:pPr>
            <w:r>
              <w:rPr>
                <w:rFonts w:hint="eastAsia" w:ascii="仿宋_GB2312" w:hAnsi="仿宋_GB2312" w:eastAsia="仿宋_GB2312" w:cs="宋体"/>
                <w:kern w:val="0"/>
                <w:szCs w:val="21"/>
              </w:rPr>
              <w:t>13</w:t>
            </w:r>
          </w:p>
        </w:tc>
        <w:tc>
          <w:tcPr>
            <w:tcW w:w="7167" w:type="dxa"/>
            <w:gridSpan w:val="3"/>
            <w:noWrap/>
            <w:vAlign w:val="center"/>
          </w:tcPr>
          <w:p>
            <w:pPr>
              <w:widowControl/>
              <w:ind w:firstLine="0" w:firstLineChars="0"/>
              <w:jc w:val="center"/>
              <w:rPr>
                <w:rFonts w:hint="eastAsia" w:ascii="仿宋_GB2312" w:hAnsi="仿宋_GB2312" w:eastAsia="仿宋_GB2312" w:cs="宋体"/>
                <w:b/>
                <w:bCs/>
                <w:kern w:val="0"/>
                <w:szCs w:val="21"/>
              </w:rPr>
            </w:pPr>
            <w:r>
              <w:rPr>
                <w:rFonts w:hint="eastAsia" w:ascii="仿宋_GB2312" w:hAnsi="仿宋_GB2312" w:eastAsia="仿宋_GB2312" w:cs="宋体"/>
                <w:b/>
                <w:bCs/>
                <w:kern w:val="0"/>
                <w:szCs w:val="21"/>
              </w:rPr>
              <w:t>合计</w:t>
            </w:r>
          </w:p>
        </w:tc>
        <w:tc>
          <w:tcPr>
            <w:tcW w:w="567" w:type="dxa"/>
            <w:noWrap/>
            <w:vAlign w:val="center"/>
          </w:tcPr>
          <w:p>
            <w:pPr>
              <w:widowControl/>
              <w:ind w:firstLine="0" w:firstLineChars="0"/>
              <w:jc w:val="center"/>
              <w:rPr>
                <w:rFonts w:hint="eastAsia" w:ascii="仿宋_GB2312" w:hAnsi="仿宋_GB2312" w:eastAsia="仿宋_GB2312" w:cs="宋体"/>
                <w:kern w:val="0"/>
                <w:szCs w:val="21"/>
              </w:rPr>
            </w:pPr>
            <w:r>
              <w:rPr>
                <w:rFonts w:hint="eastAsia" w:ascii="仿宋_GB2312" w:hAnsi="仿宋_GB2312" w:eastAsia="仿宋_GB2312" w:cs="宋体"/>
                <w:kern w:val="0"/>
                <w:szCs w:val="21"/>
              </w:rPr>
              <w:t>100</w:t>
            </w:r>
          </w:p>
        </w:tc>
      </w:tr>
    </w:tbl>
    <w:p>
      <w:pPr>
        <w:ind w:left="0" w:leftChars="0" w:firstLine="0" w:firstLineChars="0"/>
        <w:rPr>
          <w:rFonts w:hint="eastAsia"/>
          <w:b/>
          <w:bCs/>
          <w:lang w:bidi="ar"/>
        </w:rPr>
      </w:pPr>
    </w:p>
    <w:p>
      <w:pPr>
        <w:ind w:firstLine="0" w:firstLineChars="0"/>
        <w:jc w:val="center"/>
        <w:rPr>
          <w:b/>
          <w:bCs/>
          <w:lang w:bidi="ar"/>
        </w:rPr>
      </w:pPr>
      <w:r>
        <w:rPr>
          <w:rFonts w:hint="eastAsia"/>
          <w:b/>
          <w:bCs/>
          <w:lang w:bidi="ar"/>
        </w:rPr>
        <w:t>表3第三期考核评分表</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6"/>
        <w:gridCol w:w="1149"/>
        <w:gridCol w:w="1430"/>
        <w:gridCol w:w="4464"/>
        <w:gridCol w:w="8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44" w:type="pct"/>
            <w:vAlign w:val="center"/>
          </w:tcPr>
          <w:p>
            <w:pPr>
              <w:widowControl/>
              <w:ind w:firstLine="0" w:firstLineChars="0"/>
              <w:jc w:val="center"/>
              <w:rPr>
                <w:rFonts w:hint="eastAsia" w:ascii="仿宋_GB2312" w:hAnsi="仿宋_GB2312" w:eastAsia="仿宋_GB2312" w:cs="宋体"/>
                <w:b/>
                <w:bCs/>
                <w:color w:val="000000"/>
                <w:kern w:val="0"/>
                <w:szCs w:val="21"/>
              </w:rPr>
            </w:pPr>
            <w:r>
              <w:rPr>
                <w:rFonts w:ascii="仿宋_GB2312" w:hAnsi="仿宋_GB2312" w:eastAsia="仿宋_GB2312" w:cs="宋体"/>
                <w:b/>
                <w:bCs/>
                <w:color w:val="000000"/>
                <w:kern w:val="0"/>
                <w:szCs w:val="21"/>
              </w:rPr>
              <w:t>序号</w:t>
            </w:r>
          </w:p>
        </w:tc>
        <w:tc>
          <w:tcPr>
            <w:tcW w:w="674" w:type="pct"/>
            <w:vAlign w:val="center"/>
          </w:tcPr>
          <w:p>
            <w:pPr>
              <w:widowControl/>
              <w:ind w:firstLine="0" w:firstLineChars="0"/>
              <w:jc w:val="center"/>
              <w:rPr>
                <w:rFonts w:hint="eastAsia" w:ascii="仿宋_GB2312" w:hAnsi="仿宋_GB2312" w:eastAsia="仿宋_GB2312" w:cs="宋体"/>
                <w:b/>
                <w:bCs/>
                <w:color w:val="000000"/>
                <w:kern w:val="0"/>
                <w:szCs w:val="21"/>
              </w:rPr>
            </w:pPr>
            <w:r>
              <w:rPr>
                <w:rFonts w:ascii="仿宋_GB2312" w:hAnsi="仿宋_GB2312" w:eastAsia="仿宋_GB2312" w:cs="宋体"/>
                <w:b/>
                <w:bCs/>
                <w:color w:val="000000"/>
                <w:kern w:val="0"/>
                <w:szCs w:val="21"/>
              </w:rPr>
              <w:t>指标名称</w:t>
            </w:r>
          </w:p>
        </w:tc>
        <w:tc>
          <w:tcPr>
            <w:tcW w:w="839" w:type="pct"/>
            <w:vAlign w:val="center"/>
          </w:tcPr>
          <w:p>
            <w:pPr>
              <w:widowControl/>
              <w:ind w:firstLine="0" w:firstLineChars="0"/>
              <w:jc w:val="center"/>
              <w:rPr>
                <w:rFonts w:hint="eastAsia" w:ascii="仿宋_GB2312" w:hAnsi="仿宋_GB2312" w:eastAsia="仿宋_GB2312" w:cs="宋体"/>
                <w:b/>
                <w:bCs/>
                <w:color w:val="000000"/>
                <w:kern w:val="0"/>
                <w:szCs w:val="21"/>
              </w:rPr>
            </w:pPr>
            <w:r>
              <w:rPr>
                <w:rFonts w:ascii="仿宋_GB2312" w:hAnsi="仿宋_GB2312" w:eastAsia="仿宋_GB2312" w:cs="宋体"/>
                <w:b/>
                <w:bCs/>
                <w:color w:val="000000"/>
                <w:kern w:val="0"/>
                <w:szCs w:val="21"/>
              </w:rPr>
              <w:t>评估要点</w:t>
            </w:r>
          </w:p>
        </w:tc>
        <w:tc>
          <w:tcPr>
            <w:tcW w:w="2618" w:type="pct"/>
            <w:vAlign w:val="center"/>
          </w:tcPr>
          <w:p>
            <w:pPr>
              <w:widowControl/>
              <w:ind w:firstLine="0" w:firstLineChars="0"/>
              <w:jc w:val="center"/>
              <w:rPr>
                <w:rFonts w:hint="eastAsia" w:ascii="仿宋_GB2312" w:hAnsi="仿宋_GB2312" w:eastAsia="仿宋_GB2312" w:cs="宋体"/>
                <w:b/>
                <w:bCs/>
                <w:color w:val="000000"/>
                <w:kern w:val="0"/>
                <w:szCs w:val="21"/>
              </w:rPr>
            </w:pPr>
            <w:r>
              <w:rPr>
                <w:rFonts w:ascii="仿宋_GB2312" w:hAnsi="仿宋_GB2312" w:eastAsia="仿宋_GB2312" w:cs="宋体"/>
                <w:b/>
                <w:bCs/>
                <w:color w:val="000000"/>
                <w:kern w:val="0"/>
                <w:szCs w:val="21"/>
              </w:rPr>
              <w:t>评分标准</w:t>
            </w:r>
          </w:p>
        </w:tc>
        <w:tc>
          <w:tcPr>
            <w:tcW w:w="524" w:type="pct"/>
            <w:vAlign w:val="center"/>
          </w:tcPr>
          <w:p>
            <w:pPr>
              <w:widowControl/>
              <w:ind w:firstLine="0" w:firstLineChars="0"/>
              <w:jc w:val="center"/>
              <w:rPr>
                <w:rFonts w:hint="eastAsia" w:ascii="仿宋_GB2312" w:hAnsi="仿宋_GB2312" w:eastAsia="仿宋_GB2312" w:cs="宋体"/>
                <w:b/>
                <w:bCs/>
                <w:color w:val="000000"/>
                <w:kern w:val="0"/>
                <w:szCs w:val="21"/>
              </w:rPr>
            </w:pPr>
            <w:r>
              <w:rPr>
                <w:rFonts w:ascii="仿宋_GB2312" w:hAnsi="仿宋_GB2312" w:eastAsia="仿宋_GB2312" w:cs="宋体"/>
                <w:b/>
                <w:bCs/>
                <w:color w:val="000000"/>
                <w:kern w:val="0"/>
                <w:szCs w:val="21"/>
              </w:rPr>
              <w:t>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344" w:type="pct"/>
            <w:vAlign w:val="center"/>
          </w:tcPr>
          <w:p>
            <w:pPr>
              <w:widowControl/>
              <w:ind w:firstLine="0" w:firstLineChars="0"/>
              <w:jc w:val="center"/>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1</w:t>
            </w:r>
          </w:p>
        </w:tc>
        <w:tc>
          <w:tcPr>
            <w:tcW w:w="674" w:type="pct"/>
            <w:vAlign w:val="center"/>
          </w:tcPr>
          <w:p>
            <w:pPr>
              <w:widowControl/>
              <w:ind w:firstLine="0" w:firstLineChars="0"/>
              <w:jc w:val="left"/>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常态化服务支撑</w:t>
            </w:r>
          </w:p>
        </w:tc>
        <w:tc>
          <w:tcPr>
            <w:tcW w:w="839" w:type="pct"/>
            <w:vAlign w:val="center"/>
          </w:tcPr>
          <w:p>
            <w:pPr>
              <w:widowControl/>
              <w:ind w:firstLine="0" w:firstLineChars="0"/>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数据更新及时性</w:t>
            </w:r>
          </w:p>
        </w:tc>
        <w:tc>
          <w:tcPr>
            <w:tcW w:w="2618" w:type="pct"/>
            <w:vAlign w:val="center"/>
          </w:tcPr>
          <w:p>
            <w:pPr>
              <w:widowControl/>
              <w:ind w:firstLine="0" w:firstLineChars="0"/>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采购人提出一项数据更新需求，供应商需及时按最新要求调整。调整时间超过 48 小时一次扣 1 分，超过五天一次扣 3 分。满分16分，扣完为止。超过十天未完成整改，本项不得分。</w:t>
            </w:r>
          </w:p>
        </w:tc>
        <w:tc>
          <w:tcPr>
            <w:tcW w:w="524" w:type="pct"/>
            <w:vAlign w:val="center"/>
          </w:tcPr>
          <w:p>
            <w:pPr>
              <w:widowControl/>
              <w:ind w:firstLine="0" w:firstLineChars="0"/>
              <w:jc w:val="center"/>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344" w:type="pct"/>
            <w:vAlign w:val="center"/>
          </w:tcPr>
          <w:p>
            <w:pPr>
              <w:widowControl/>
              <w:ind w:firstLine="0" w:firstLineChars="0"/>
              <w:jc w:val="center"/>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2</w:t>
            </w:r>
          </w:p>
        </w:tc>
        <w:tc>
          <w:tcPr>
            <w:tcW w:w="674" w:type="pct"/>
            <w:vMerge w:val="restart"/>
            <w:vAlign w:val="center"/>
          </w:tcPr>
          <w:p>
            <w:pPr>
              <w:widowControl/>
              <w:ind w:firstLine="0" w:firstLineChars="0"/>
              <w:jc w:val="left"/>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服务成果数据要素绘制准确性</w:t>
            </w:r>
          </w:p>
        </w:tc>
        <w:tc>
          <w:tcPr>
            <w:tcW w:w="839" w:type="pct"/>
            <w:vAlign w:val="center"/>
          </w:tcPr>
          <w:p>
            <w:pPr>
              <w:widowControl/>
              <w:ind w:firstLine="0" w:firstLineChars="0"/>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检查服务成果数据要素绘制的完整性</w:t>
            </w:r>
          </w:p>
        </w:tc>
        <w:tc>
          <w:tcPr>
            <w:tcW w:w="2618" w:type="pct"/>
            <w:vAlign w:val="center"/>
          </w:tcPr>
          <w:p>
            <w:pPr>
              <w:widowControl/>
              <w:ind w:firstLine="0" w:firstLineChars="0"/>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供应商提供的服务成果中出现遗漏、合并的面要素的，每出现 1 次，扣 3 分。满分15分，扣完为止。</w:t>
            </w:r>
          </w:p>
        </w:tc>
        <w:tc>
          <w:tcPr>
            <w:tcW w:w="524" w:type="pct"/>
            <w:vAlign w:val="center"/>
          </w:tcPr>
          <w:p>
            <w:pPr>
              <w:widowControl/>
              <w:ind w:firstLine="0" w:firstLineChars="0"/>
              <w:jc w:val="center"/>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344" w:type="pct"/>
            <w:vAlign w:val="center"/>
          </w:tcPr>
          <w:p>
            <w:pPr>
              <w:widowControl/>
              <w:ind w:firstLine="0" w:firstLineChars="0"/>
              <w:jc w:val="center"/>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3</w:t>
            </w:r>
          </w:p>
        </w:tc>
        <w:tc>
          <w:tcPr>
            <w:tcW w:w="674" w:type="pct"/>
            <w:vMerge w:val="continue"/>
            <w:vAlign w:val="center"/>
          </w:tcPr>
          <w:p>
            <w:pPr>
              <w:widowControl/>
              <w:ind w:firstLine="0" w:firstLineChars="0"/>
              <w:jc w:val="left"/>
              <w:rPr>
                <w:rFonts w:hint="eastAsia" w:ascii="仿宋_GB2312" w:hAnsi="仿宋_GB2312" w:eastAsia="仿宋_GB2312" w:cs="宋体"/>
                <w:color w:val="000000"/>
                <w:kern w:val="0"/>
                <w:szCs w:val="21"/>
              </w:rPr>
            </w:pPr>
          </w:p>
        </w:tc>
        <w:tc>
          <w:tcPr>
            <w:tcW w:w="839" w:type="pct"/>
            <w:vAlign w:val="center"/>
          </w:tcPr>
          <w:p>
            <w:pPr>
              <w:widowControl/>
              <w:ind w:firstLine="0" w:firstLineChars="0"/>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检查服务成果拓扑关系的准确性</w:t>
            </w:r>
          </w:p>
        </w:tc>
        <w:tc>
          <w:tcPr>
            <w:tcW w:w="2618" w:type="pct"/>
            <w:vAlign w:val="center"/>
          </w:tcPr>
          <w:p>
            <w:pPr>
              <w:widowControl/>
              <w:ind w:firstLine="0" w:firstLineChars="0"/>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供应商提供的服务成果出现以下任一情况：多边形未闭合；出现不必要的悬挂点、假节点；结点、弧段、多边形之间的连通、邻接、包含等拓扑信息未能正确表达的，每出现 1 次，扣 3 分。满分15分，扣完为止。</w:t>
            </w:r>
          </w:p>
        </w:tc>
        <w:tc>
          <w:tcPr>
            <w:tcW w:w="524" w:type="pct"/>
            <w:vAlign w:val="center"/>
          </w:tcPr>
          <w:p>
            <w:pPr>
              <w:widowControl/>
              <w:ind w:firstLine="0" w:firstLineChars="0"/>
              <w:jc w:val="center"/>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344" w:type="pct"/>
            <w:vAlign w:val="center"/>
          </w:tcPr>
          <w:p>
            <w:pPr>
              <w:widowControl/>
              <w:ind w:firstLine="0" w:firstLineChars="0"/>
              <w:jc w:val="center"/>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4</w:t>
            </w:r>
          </w:p>
        </w:tc>
        <w:tc>
          <w:tcPr>
            <w:tcW w:w="674" w:type="pct"/>
            <w:vMerge w:val="restart"/>
            <w:vAlign w:val="center"/>
          </w:tcPr>
          <w:p>
            <w:pPr>
              <w:widowControl/>
              <w:ind w:firstLine="0" w:firstLineChars="0"/>
              <w:jc w:val="left"/>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保密规定</w:t>
            </w:r>
          </w:p>
        </w:tc>
        <w:tc>
          <w:tcPr>
            <w:tcW w:w="839" w:type="pct"/>
            <w:vAlign w:val="center"/>
          </w:tcPr>
          <w:p>
            <w:pPr>
              <w:widowControl/>
              <w:ind w:firstLine="0" w:firstLineChars="0"/>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数据安全与信息保密</w:t>
            </w:r>
          </w:p>
        </w:tc>
        <w:tc>
          <w:tcPr>
            <w:tcW w:w="2618" w:type="pct"/>
            <w:vAlign w:val="center"/>
          </w:tcPr>
          <w:p>
            <w:pPr>
              <w:widowControl/>
              <w:ind w:firstLine="0" w:firstLineChars="0"/>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保证所服务数据的安全，未经许可不得泄露任何数据。每违反一次，视影响程度扣 1-2 分；若给采购人造成负面影响的，加重扣分。满分15分，扣完为止。</w:t>
            </w:r>
          </w:p>
        </w:tc>
        <w:tc>
          <w:tcPr>
            <w:tcW w:w="524" w:type="pct"/>
            <w:vAlign w:val="center"/>
          </w:tcPr>
          <w:p>
            <w:pPr>
              <w:widowControl/>
              <w:ind w:firstLine="0" w:firstLineChars="0"/>
              <w:jc w:val="center"/>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344" w:type="pct"/>
            <w:vAlign w:val="center"/>
          </w:tcPr>
          <w:p>
            <w:pPr>
              <w:widowControl/>
              <w:ind w:firstLine="0" w:firstLineChars="0"/>
              <w:jc w:val="center"/>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5</w:t>
            </w:r>
          </w:p>
        </w:tc>
        <w:tc>
          <w:tcPr>
            <w:tcW w:w="674" w:type="pct"/>
            <w:vMerge w:val="continue"/>
            <w:vAlign w:val="center"/>
          </w:tcPr>
          <w:p>
            <w:pPr>
              <w:widowControl/>
              <w:ind w:firstLine="0" w:firstLineChars="0"/>
              <w:jc w:val="left"/>
              <w:rPr>
                <w:rFonts w:hint="eastAsia" w:ascii="仿宋_GB2312" w:hAnsi="仿宋_GB2312" w:eastAsia="仿宋_GB2312" w:cs="宋体"/>
                <w:color w:val="000000"/>
                <w:kern w:val="0"/>
                <w:szCs w:val="21"/>
              </w:rPr>
            </w:pPr>
          </w:p>
        </w:tc>
        <w:tc>
          <w:tcPr>
            <w:tcW w:w="839" w:type="pct"/>
            <w:vAlign w:val="center"/>
          </w:tcPr>
          <w:p>
            <w:pPr>
              <w:widowControl/>
              <w:ind w:firstLine="0" w:firstLineChars="0"/>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系统访问权限合规</w:t>
            </w:r>
          </w:p>
        </w:tc>
        <w:tc>
          <w:tcPr>
            <w:tcW w:w="2618" w:type="pct"/>
            <w:vAlign w:val="center"/>
          </w:tcPr>
          <w:p>
            <w:pPr>
              <w:widowControl/>
              <w:ind w:firstLine="0" w:firstLineChars="0"/>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只能在采购人许可的范围内提供服务，不得利用工作之便非法侵入或尝试侵入其他系统数据。每违反一次，视影响程度扣 1-2 分；若给采购方造成负面影响的，加重扣分。满分15分，扣完为止。</w:t>
            </w:r>
          </w:p>
        </w:tc>
        <w:tc>
          <w:tcPr>
            <w:tcW w:w="524" w:type="pct"/>
            <w:vAlign w:val="center"/>
          </w:tcPr>
          <w:p>
            <w:pPr>
              <w:widowControl/>
              <w:ind w:firstLine="0" w:firstLineChars="0"/>
              <w:jc w:val="center"/>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344" w:type="pct"/>
            <w:vAlign w:val="center"/>
          </w:tcPr>
          <w:p>
            <w:pPr>
              <w:widowControl/>
              <w:ind w:firstLine="0" w:firstLineChars="0"/>
              <w:jc w:val="center"/>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6</w:t>
            </w:r>
          </w:p>
        </w:tc>
        <w:tc>
          <w:tcPr>
            <w:tcW w:w="674" w:type="pct"/>
            <w:vAlign w:val="center"/>
          </w:tcPr>
          <w:p>
            <w:pPr>
              <w:widowControl/>
              <w:ind w:firstLine="0" w:firstLineChars="0"/>
              <w:jc w:val="left"/>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服务满意度</w:t>
            </w:r>
          </w:p>
        </w:tc>
        <w:tc>
          <w:tcPr>
            <w:tcW w:w="839" w:type="pct"/>
            <w:vAlign w:val="center"/>
          </w:tcPr>
          <w:p>
            <w:pPr>
              <w:widowControl/>
              <w:ind w:firstLine="0" w:firstLineChars="0"/>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在服务过程中，出现服务投诉</w:t>
            </w:r>
          </w:p>
        </w:tc>
        <w:tc>
          <w:tcPr>
            <w:tcW w:w="2618" w:type="pct"/>
            <w:vAlign w:val="center"/>
          </w:tcPr>
          <w:p>
            <w:pPr>
              <w:widowControl/>
              <w:ind w:firstLine="0" w:firstLineChars="0"/>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服务人员在常态化服务支撑过程中，每投诉一次并经核实属于服务方问题引起的扣 2 分。满分10分，扣完为止。</w:t>
            </w:r>
          </w:p>
        </w:tc>
        <w:tc>
          <w:tcPr>
            <w:tcW w:w="524" w:type="pct"/>
            <w:vAlign w:val="center"/>
          </w:tcPr>
          <w:p>
            <w:pPr>
              <w:widowControl/>
              <w:ind w:firstLine="0" w:firstLineChars="0"/>
              <w:jc w:val="center"/>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344" w:type="pct"/>
            <w:vAlign w:val="center"/>
          </w:tcPr>
          <w:p>
            <w:pPr>
              <w:widowControl/>
              <w:ind w:firstLine="0" w:firstLineChars="0"/>
              <w:jc w:val="center"/>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7</w:t>
            </w:r>
          </w:p>
        </w:tc>
        <w:tc>
          <w:tcPr>
            <w:tcW w:w="674" w:type="pct"/>
            <w:vMerge w:val="restart"/>
            <w:vAlign w:val="center"/>
          </w:tcPr>
          <w:p>
            <w:pPr>
              <w:widowControl/>
              <w:ind w:firstLine="0" w:firstLineChars="0"/>
              <w:jc w:val="left"/>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人员考核</w:t>
            </w:r>
          </w:p>
        </w:tc>
        <w:tc>
          <w:tcPr>
            <w:tcW w:w="839" w:type="pct"/>
            <w:vAlign w:val="center"/>
          </w:tcPr>
          <w:p>
            <w:pPr>
              <w:widowControl/>
              <w:ind w:firstLine="0" w:firstLineChars="0"/>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服务团队稳定性</w:t>
            </w:r>
          </w:p>
        </w:tc>
        <w:tc>
          <w:tcPr>
            <w:tcW w:w="2618" w:type="pct"/>
            <w:vAlign w:val="center"/>
          </w:tcPr>
          <w:p>
            <w:pPr>
              <w:widowControl/>
              <w:ind w:firstLine="0" w:firstLineChars="0"/>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服务团队稳定性保障不力，</w:t>
            </w:r>
            <w:r>
              <w:rPr>
                <w:rFonts w:hint="eastAsia" w:ascii="仿宋_GB2312" w:hAnsi="仿宋_GB2312" w:eastAsia="仿宋_GB2312" w:cs="宋体"/>
                <w:color w:val="000000"/>
                <w:kern w:val="0"/>
                <w:szCs w:val="21"/>
              </w:rPr>
              <w:t>人员变更未提前5个工作日向业主提交书面申请</w:t>
            </w:r>
            <w:r>
              <w:rPr>
                <w:rFonts w:ascii="仿宋_GB2312" w:hAnsi="仿宋_GB2312" w:eastAsia="仿宋_GB2312" w:cs="宋体"/>
                <w:color w:val="000000"/>
                <w:kern w:val="0"/>
                <w:szCs w:val="21"/>
              </w:rPr>
              <w:t>的扣 3 分；服务期内人员变动大于 1 人次的扣 3 分。满分6分，扣完为止。</w:t>
            </w:r>
          </w:p>
        </w:tc>
        <w:tc>
          <w:tcPr>
            <w:tcW w:w="524" w:type="pct"/>
            <w:vAlign w:val="center"/>
          </w:tcPr>
          <w:p>
            <w:pPr>
              <w:widowControl/>
              <w:ind w:firstLine="0" w:firstLineChars="0"/>
              <w:jc w:val="center"/>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344" w:type="pct"/>
            <w:vAlign w:val="center"/>
          </w:tcPr>
          <w:p>
            <w:pPr>
              <w:widowControl/>
              <w:ind w:firstLine="0" w:firstLineChars="0"/>
              <w:jc w:val="center"/>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8</w:t>
            </w:r>
          </w:p>
        </w:tc>
        <w:tc>
          <w:tcPr>
            <w:tcW w:w="674" w:type="pct"/>
            <w:vMerge w:val="continue"/>
            <w:vAlign w:val="center"/>
          </w:tcPr>
          <w:p>
            <w:pPr>
              <w:widowControl/>
              <w:ind w:firstLine="0" w:firstLineChars="0"/>
              <w:jc w:val="left"/>
              <w:rPr>
                <w:rFonts w:hint="eastAsia" w:ascii="仿宋_GB2312" w:hAnsi="仿宋_GB2312" w:eastAsia="仿宋_GB2312" w:cs="宋体"/>
                <w:color w:val="000000"/>
                <w:kern w:val="0"/>
                <w:szCs w:val="21"/>
              </w:rPr>
            </w:pPr>
          </w:p>
        </w:tc>
        <w:tc>
          <w:tcPr>
            <w:tcW w:w="839" w:type="pct"/>
            <w:vAlign w:val="center"/>
          </w:tcPr>
          <w:p>
            <w:pPr>
              <w:widowControl/>
              <w:ind w:firstLine="0" w:firstLineChars="0"/>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考勤满意度</w:t>
            </w:r>
          </w:p>
        </w:tc>
        <w:tc>
          <w:tcPr>
            <w:tcW w:w="2618" w:type="pct"/>
            <w:vAlign w:val="center"/>
          </w:tcPr>
          <w:p>
            <w:pPr>
              <w:widowControl/>
              <w:ind w:firstLine="0" w:firstLineChars="0"/>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根据现场服务人员在岗情况、应急响应等服务情况，在 1-10 分区间内进行评分。满分10分。</w:t>
            </w:r>
          </w:p>
        </w:tc>
        <w:tc>
          <w:tcPr>
            <w:tcW w:w="524" w:type="pct"/>
            <w:vAlign w:val="center"/>
          </w:tcPr>
          <w:p>
            <w:pPr>
              <w:widowControl/>
              <w:ind w:firstLine="0" w:firstLineChars="0"/>
              <w:jc w:val="center"/>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344" w:type="pct"/>
            <w:vAlign w:val="center"/>
          </w:tcPr>
          <w:p>
            <w:pPr>
              <w:widowControl/>
              <w:ind w:firstLine="0" w:firstLineChars="0"/>
              <w:jc w:val="center"/>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9</w:t>
            </w:r>
          </w:p>
        </w:tc>
        <w:tc>
          <w:tcPr>
            <w:tcW w:w="4132" w:type="pct"/>
            <w:gridSpan w:val="3"/>
            <w:vAlign w:val="center"/>
          </w:tcPr>
          <w:p>
            <w:pPr>
              <w:widowControl/>
              <w:ind w:firstLine="0" w:firstLineChars="0"/>
              <w:jc w:val="center"/>
              <w:rPr>
                <w:rFonts w:hint="eastAsia" w:ascii="仿宋_GB2312" w:hAnsi="仿宋_GB2312" w:eastAsia="仿宋_GB2312" w:cs="宋体"/>
                <w:b/>
                <w:bCs/>
                <w:color w:val="000000"/>
                <w:kern w:val="0"/>
                <w:szCs w:val="21"/>
              </w:rPr>
            </w:pPr>
            <w:r>
              <w:rPr>
                <w:rFonts w:ascii="仿宋_GB2312" w:hAnsi="仿宋_GB2312" w:eastAsia="仿宋_GB2312" w:cs="宋体"/>
                <w:b/>
                <w:bCs/>
                <w:color w:val="000000"/>
                <w:kern w:val="0"/>
                <w:szCs w:val="21"/>
              </w:rPr>
              <w:t>合计</w:t>
            </w:r>
          </w:p>
        </w:tc>
        <w:tc>
          <w:tcPr>
            <w:tcW w:w="524" w:type="pct"/>
            <w:vAlign w:val="center"/>
          </w:tcPr>
          <w:p>
            <w:pPr>
              <w:widowControl/>
              <w:ind w:firstLine="0" w:firstLineChars="0"/>
              <w:jc w:val="center"/>
              <w:rPr>
                <w:rFonts w:hint="eastAsia" w:ascii="仿宋_GB2312" w:hAnsi="仿宋_GB2312" w:eastAsia="仿宋_GB2312" w:cs="宋体"/>
                <w:color w:val="000000"/>
                <w:kern w:val="0"/>
                <w:szCs w:val="21"/>
              </w:rPr>
            </w:pPr>
            <w:r>
              <w:rPr>
                <w:rFonts w:ascii="仿宋_GB2312" w:hAnsi="仿宋_GB2312" w:eastAsia="仿宋_GB2312" w:cs="宋体"/>
                <w:color w:val="000000"/>
                <w:kern w:val="0"/>
                <w:szCs w:val="21"/>
              </w:rPr>
              <w:t>100</w:t>
            </w:r>
          </w:p>
        </w:tc>
      </w:tr>
    </w:tbl>
    <w:p>
      <w:pPr>
        <w:ind w:left="0" w:leftChars="0" w:firstLine="0" w:firstLineChars="0"/>
        <w:rPr>
          <w:rFonts w:hint="eastAsia" w:ascii="宋体" w:hAnsi="宋体" w:eastAsia="宋体" w:cs="仿宋_GB2312"/>
          <w:sz w:val="24"/>
          <w:szCs w:val="24"/>
        </w:rPr>
      </w:pPr>
    </w:p>
    <w:p>
      <w:pPr>
        <w:pStyle w:val="3"/>
        <w:numPr>
          <w:ilvl w:val="0"/>
          <w:numId w:val="7"/>
        </w:numPr>
        <w:rPr>
          <w:rFonts w:hint="eastAsia"/>
        </w:rPr>
      </w:pPr>
      <w:r>
        <w:rPr>
          <w:rFonts w:hint="eastAsia"/>
        </w:rPr>
        <w:t>费用核算标准</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为确保服务契合采购人的实际业务需求，同时保证服务质量，将考核与费用核算标准相挂钩。具体费用核算标准如下：</w:t>
      </w:r>
    </w:p>
    <w:tbl>
      <w:tblPr>
        <w:tblStyle w:val="18"/>
        <w:tblW w:w="0" w:type="auto"/>
        <w:tblInd w:w="0" w:type="dxa"/>
        <w:tblBorders>
          <w:top w:val="outset" w:color="000000" w:sz="4" w:space="0"/>
          <w:left w:val="outset" w:color="000000" w:sz="4" w:space="0"/>
          <w:bottom w:val="outset" w:color="000000" w:sz="4" w:space="0"/>
          <w:right w:val="outset" w:color="000000" w:sz="4" w:space="0"/>
          <w:insideH w:val="single" w:color="auto" w:sz="0" w:space="0"/>
          <w:insideV w:val="single" w:color="auto" w:sz="0" w:space="0"/>
        </w:tblBorders>
        <w:tblLayout w:type="autofit"/>
        <w:tblCellMar>
          <w:top w:w="0" w:type="dxa"/>
          <w:left w:w="108" w:type="dxa"/>
          <w:bottom w:w="0" w:type="dxa"/>
          <w:right w:w="108" w:type="dxa"/>
        </w:tblCellMar>
      </w:tblPr>
      <w:tblGrid>
        <w:gridCol w:w="1692"/>
        <w:gridCol w:w="6604"/>
      </w:tblGrid>
      <w:tr>
        <w:tblPrEx>
          <w:tblBorders>
            <w:top w:val="outset" w:color="000000" w:sz="4" w:space="0"/>
            <w:left w:val="outset" w:color="000000" w:sz="4" w:space="0"/>
            <w:bottom w:val="outset" w:color="000000" w:sz="4" w:space="0"/>
            <w:right w:val="outset" w:color="000000" w:sz="4" w:space="0"/>
            <w:insideH w:val="single" w:color="auto" w:sz="0" w:space="0"/>
            <w:insideV w:val="single" w:color="auto" w:sz="0" w:space="0"/>
          </w:tblBorders>
          <w:tblCellMar>
            <w:top w:w="0" w:type="dxa"/>
            <w:left w:w="108" w:type="dxa"/>
            <w:bottom w:w="0" w:type="dxa"/>
            <w:right w:w="108" w:type="dxa"/>
          </w:tblCellMar>
        </w:tblPrEx>
        <w:tc>
          <w:tcPr>
            <w:tcW w:w="1692" w:type="dxa"/>
            <w:tcBorders>
              <w:top w:val="outset" w:color="000000" w:sz="4" w:space="0"/>
              <w:left w:val="outset" w:color="000000" w:sz="4" w:space="0"/>
              <w:bottom w:val="outset" w:color="000000" w:sz="4" w:space="0"/>
              <w:right w:val="outset" w:color="000000" w:sz="4" w:space="0"/>
            </w:tcBorders>
            <w:tcMar>
              <w:top w:w="0" w:type="dxa"/>
              <w:left w:w="90" w:type="dxa"/>
              <w:bottom w:w="0" w:type="dxa"/>
              <w:right w:w="90" w:type="dxa"/>
            </w:tcMar>
          </w:tcPr>
          <w:p>
            <w:pPr>
              <w:pStyle w:val="38"/>
              <w:jc w:val="center"/>
              <w:rPr>
                <w:rFonts w:ascii="仿宋_GB2312" w:hAnsi="宋体" w:eastAsia="仿宋_GB2312" w:cs="宋体"/>
                <w:b/>
                <w:bCs/>
                <w:sz w:val="24"/>
                <w:szCs w:val="24"/>
              </w:rPr>
            </w:pPr>
            <w:r>
              <w:rPr>
                <w:rFonts w:hint="eastAsia" w:ascii="仿宋_GB2312" w:hAnsi="宋体" w:eastAsia="仿宋_GB2312" w:cs="宋体"/>
                <w:b/>
                <w:bCs/>
                <w:sz w:val="24"/>
                <w:szCs w:val="24"/>
                <w:lang w:val="en-US" w:eastAsia="zh-CN"/>
              </w:rPr>
              <w:t>每期</w:t>
            </w:r>
            <w:r>
              <w:rPr>
                <w:rFonts w:ascii="仿宋_GB2312" w:hAnsi="宋体" w:eastAsia="仿宋_GB2312" w:cs="宋体"/>
                <w:b/>
                <w:bCs/>
                <w:sz w:val="24"/>
                <w:szCs w:val="24"/>
              </w:rPr>
              <w:t>考核得分</w:t>
            </w:r>
          </w:p>
        </w:tc>
        <w:tc>
          <w:tcPr>
            <w:tcW w:w="6604" w:type="dxa"/>
            <w:tcBorders>
              <w:top w:val="outset" w:color="000000" w:sz="4" w:space="0"/>
              <w:left w:val="outset" w:color="000000" w:sz="4" w:space="0"/>
              <w:bottom w:val="outset" w:color="000000" w:sz="4" w:space="0"/>
              <w:right w:val="outset" w:color="000000" w:sz="4" w:space="0"/>
            </w:tcBorders>
            <w:tcMar>
              <w:top w:w="0" w:type="dxa"/>
              <w:left w:w="90" w:type="dxa"/>
              <w:bottom w:w="0" w:type="dxa"/>
              <w:right w:w="90" w:type="dxa"/>
            </w:tcMar>
          </w:tcPr>
          <w:p>
            <w:pPr>
              <w:pStyle w:val="38"/>
              <w:jc w:val="center"/>
              <w:rPr>
                <w:rFonts w:ascii="仿宋_GB2312" w:hAnsi="宋体" w:eastAsia="仿宋_GB2312" w:cs="宋体"/>
                <w:b/>
                <w:bCs/>
                <w:sz w:val="24"/>
                <w:szCs w:val="24"/>
              </w:rPr>
            </w:pPr>
            <w:r>
              <w:rPr>
                <w:rFonts w:ascii="仿宋_GB2312" w:hAnsi="宋体" w:eastAsia="仿宋_GB2312" w:cs="宋体"/>
                <w:b/>
                <w:bCs/>
                <w:sz w:val="24"/>
                <w:szCs w:val="24"/>
                <w:lang w:eastAsia="zh-CN"/>
              </w:rPr>
              <w:t>费用核算标准</w:t>
            </w:r>
          </w:p>
        </w:tc>
      </w:tr>
      <w:tr>
        <w:tblPrEx>
          <w:tblBorders>
            <w:top w:val="outset" w:color="000000" w:sz="4" w:space="0"/>
            <w:left w:val="outset" w:color="000000" w:sz="4" w:space="0"/>
            <w:bottom w:val="outset" w:color="000000" w:sz="4" w:space="0"/>
            <w:right w:val="outset" w:color="000000" w:sz="4" w:space="0"/>
            <w:insideH w:val="single" w:color="auto" w:sz="0" w:space="0"/>
            <w:insideV w:val="single" w:color="auto" w:sz="0" w:space="0"/>
          </w:tblBorders>
          <w:tblCellMar>
            <w:top w:w="0" w:type="dxa"/>
            <w:left w:w="108" w:type="dxa"/>
            <w:bottom w:w="0" w:type="dxa"/>
            <w:right w:w="108" w:type="dxa"/>
          </w:tblCellMar>
        </w:tblPrEx>
        <w:tc>
          <w:tcPr>
            <w:tcW w:w="1692" w:type="dxa"/>
            <w:tcBorders>
              <w:top w:val="outset" w:color="000000" w:sz="4" w:space="0"/>
              <w:left w:val="outset" w:color="000000" w:sz="4" w:space="0"/>
              <w:bottom w:val="outset" w:color="000000" w:sz="4" w:space="0"/>
              <w:right w:val="outset" w:color="000000" w:sz="4" w:space="0"/>
            </w:tcBorders>
            <w:tcMar>
              <w:top w:w="0" w:type="dxa"/>
              <w:left w:w="90" w:type="dxa"/>
              <w:bottom w:w="0" w:type="dxa"/>
              <w:right w:w="90" w:type="dxa"/>
            </w:tcMar>
          </w:tcPr>
          <w:p>
            <w:pPr>
              <w:pStyle w:val="38"/>
              <w:jc w:val="center"/>
              <w:rPr>
                <w:rFonts w:ascii="仿宋_GB2312" w:hAnsi="宋体" w:eastAsia="仿宋_GB2312" w:cs="宋体"/>
                <w:sz w:val="24"/>
                <w:szCs w:val="24"/>
              </w:rPr>
            </w:pPr>
            <w:r>
              <w:rPr>
                <w:rFonts w:ascii="仿宋_GB2312" w:hAnsi="宋体" w:eastAsia="仿宋_GB2312" w:cs="宋体"/>
                <w:sz w:val="24"/>
                <w:szCs w:val="24"/>
              </w:rPr>
              <w:t>9</w:t>
            </w:r>
            <w:r>
              <w:rPr>
                <w:rFonts w:ascii="仿宋_GB2312" w:hAnsi="宋体" w:eastAsia="仿宋_GB2312" w:cs="宋体"/>
                <w:sz w:val="24"/>
                <w:szCs w:val="24"/>
                <w:lang w:eastAsia="zh-CN"/>
              </w:rPr>
              <w:t>0</w:t>
            </w:r>
            <w:r>
              <w:rPr>
                <w:rFonts w:ascii="仿宋_GB2312" w:hAnsi="宋体" w:eastAsia="仿宋_GB2312" w:cs="宋体"/>
                <w:sz w:val="24"/>
                <w:szCs w:val="24"/>
              </w:rPr>
              <w:t>-</w:t>
            </w:r>
            <w:r>
              <w:rPr>
                <w:rFonts w:ascii="仿宋_GB2312" w:hAnsi="宋体" w:eastAsia="仿宋_GB2312" w:cs="宋体"/>
                <w:sz w:val="24"/>
                <w:szCs w:val="24"/>
                <w:lang w:eastAsia="zh-CN"/>
              </w:rPr>
              <w:t>100</w:t>
            </w:r>
            <w:r>
              <w:rPr>
                <w:rFonts w:ascii="仿宋_GB2312" w:hAnsi="宋体" w:eastAsia="仿宋_GB2312" w:cs="宋体"/>
                <w:sz w:val="24"/>
                <w:szCs w:val="24"/>
              </w:rPr>
              <w:t>分</w:t>
            </w:r>
          </w:p>
        </w:tc>
        <w:tc>
          <w:tcPr>
            <w:tcW w:w="6604" w:type="dxa"/>
            <w:tcBorders>
              <w:top w:val="outset" w:color="000000" w:sz="4" w:space="0"/>
              <w:left w:val="outset" w:color="000000" w:sz="4" w:space="0"/>
              <w:bottom w:val="outset" w:color="000000" w:sz="4" w:space="0"/>
              <w:right w:val="outset" w:color="000000" w:sz="4" w:space="0"/>
            </w:tcBorders>
            <w:tcMar>
              <w:top w:w="0" w:type="dxa"/>
              <w:left w:w="90" w:type="dxa"/>
              <w:bottom w:w="0" w:type="dxa"/>
              <w:right w:w="90" w:type="dxa"/>
            </w:tcMar>
          </w:tcPr>
          <w:p>
            <w:pPr>
              <w:pStyle w:val="38"/>
              <w:rPr>
                <w:rFonts w:ascii="仿宋_GB2312" w:hAnsi="宋体" w:eastAsia="仿宋_GB2312" w:cs="宋体"/>
                <w:sz w:val="24"/>
                <w:szCs w:val="24"/>
              </w:rPr>
            </w:pPr>
            <w:r>
              <w:rPr>
                <w:rFonts w:ascii="仿宋_GB2312" w:hAnsi="宋体" w:eastAsia="仿宋_GB2312" w:cs="宋体"/>
                <w:sz w:val="24"/>
                <w:szCs w:val="24"/>
              </w:rPr>
              <w:t>全额结算</w:t>
            </w:r>
          </w:p>
        </w:tc>
      </w:tr>
      <w:tr>
        <w:tblPrEx>
          <w:tblBorders>
            <w:top w:val="outset" w:color="000000" w:sz="4" w:space="0"/>
            <w:left w:val="outset" w:color="000000" w:sz="4" w:space="0"/>
            <w:bottom w:val="outset" w:color="000000" w:sz="4" w:space="0"/>
            <w:right w:val="outset" w:color="000000" w:sz="4" w:space="0"/>
            <w:insideH w:val="single" w:color="auto" w:sz="0" w:space="0"/>
            <w:insideV w:val="single" w:color="auto" w:sz="0" w:space="0"/>
          </w:tblBorders>
          <w:tblCellMar>
            <w:top w:w="0" w:type="dxa"/>
            <w:left w:w="108" w:type="dxa"/>
            <w:bottom w:w="0" w:type="dxa"/>
            <w:right w:w="108" w:type="dxa"/>
          </w:tblCellMar>
        </w:tblPrEx>
        <w:tc>
          <w:tcPr>
            <w:tcW w:w="1692" w:type="dxa"/>
            <w:tcBorders>
              <w:top w:val="outset" w:color="000000" w:sz="4" w:space="0"/>
              <w:left w:val="outset" w:color="000000" w:sz="4" w:space="0"/>
              <w:bottom w:val="outset" w:color="000000" w:sz="4" w:space="0"/>
              <w:right w:val="outset" w:color="000000" w:sz="4" w:space="0"/>
            </w:tcBorders>
            <w:tcMar>
              <w:top w:w="0" w:type="dxa"/>
              <w:left w:w="90" w:type="dxa"/>
              <w:bottom w:w="0" w:type="dxa"/>
              <w:right w:w="90" w:type="dxa"/>
            </w:tcMar>
          </w:tcPr>
          <w:p>
            <w:pPr>
              <w:pStyle w:val="38"/>
              <w:jc w:val="center"/>
              <w:rPr>
                <w:rFonts w:ascii="仿宋_GB2312" w:hAnsi="宋体" w:eastAsia="仿宋_GB2312" w:cs="宋体"/>
                <w:sz w:val="24"/>
                <w:szCs w:val="24"/>
              </w:rPr>
            </w:pPr>
            <w:r>
              <w:rPr>
                <w:rFonts w:ascii="仿宋_GB2312" w:hAnsi="宋体" w:eastAsia="仿宋_GB2312" w:cs="宋体"/>
                <w:sz w:val="24"/>
                <w:szCs w:val="24"/>
                <w:lang w:eastAsia="zh-CN"/>
              </w:rPr>
              <w:t>8</w:t>
            </w:r>
            <w:r>
              <w:rPr>
                <w:rFonts w:ascii="仿宋_GB2312" w:hAnsi="宋体" w:eastAsia="仿宋_GB2312" w:cs="宋体"/>
                <w:sz w:val="24"/>
                <w:szCs w:val="24"/>
              </w:rPr>
              <w:t>0-</w:t>
            </w:r>
            <w:r>
              <w:rPr>
                <w:rFonts w:ascii="仿宋_GB2312" w:hAnsi="宋体" w:eastAsia="仿宋_GB2312" w:cs="宋体"/>
                <w:sz w:val="24"/>
                <w:szCs w:val="24"/>
                <w:lang w:eastAsia="zh-CN"/>
              </w:rPr>
              <w:t>89</w:t>
            </w:r>
            <w:r>
              <w:rPr>
                <w:rFonts w:ascii="仿宋_GB2312" w:hAnsi="宋体" w:eastAsia="仿宋_GB2312" w:cs="宋体"/>
                <w:sz w:val="24"/>
                <w:szCs w:val="24"/>
              </w:rPr>
              <w:t>分</w:t>
            </w:r>
          </w:p>
        </w:tc>
        <w:tc>
          <w:tcPr>
            <w:tcW w:w="6604" w:type="dxa"/>
            <w:tcBorders>
              <w:top w:val="outset" w:color="000000" w:sz="4" w:space="0"/>
              <w:left w:val="outset" w:color="000000" w:sz="4" w:space="0"/>
              <w:bottom w:val="outset" w:color="000000" w:sz="4" w:space="0"/>
              <w:right w:val="outset" w:color="000000" w:sz="4" w:space="0"/>
            </w:tcBorders>
            <w:tcMar>
              <w:top w:w="0" w:type="dxa"/>
              <w:left w:w="90" w:type="dxa"/>
              <w:bottom w:w="0" w:type="dxa"/>
              <w:right w:w="90" w:type="dxa"/>
            </w:tcMar>
          </w:tcPr>
          <w:p>
            <w:pPr>
              <w:pStyle w:val="38"/>
              <w:rPr>
                <w:rFonts w:ascii="仿宋_GB2312" w:hAnsi="宋体" w:eastAsia="仿宋_GB2312" w:cs="宋体"/>
                <w:sz w:val="24"/>
                <w:szCs w:val="24"/>
              </w:rPr>
            </w:pPr>
            <w:r>
              <w:rPr>
                <w:rFonts w:ascii="仿宋_GB2312" w:hAnsi="宋体" w:eastAsia="仿宋_GB2312" w:cs="宋体"/>
                <w:sz w:val="24"/>
                <w:szCs w:val="24"/>
              </w:rPr>
              <w:t>采购人有权从该期次所有技术服务费用中扣除中标价</w:t>
            </w:r>
            <w:r>
              <w:rPr>
                <w:rFonts w:ascii="仿宋_GB2312" w:hAnsi="宋体" w:eastAsia="仿宋_GB2312" w:cs="宋体"/>
                <w:sz w:val="24"/>
                <w:szCs w:val="24"/>
                <w:lang w:eastAsia="zh-CN"/>
              </w:rPr>
              <w:t>20%款项</w:t>
            </w:r>
          </w:p>
        </w:tc>
      </w:tr>
      <w:tr>
        <w:tblPrEx>
          <w:tblBorders>
            <w:top w:val="outset" w:color="000000" w:sz="4" w:space="0"/>
            <w:left w:val="outset" w:color="000000" w:sz="4" w:space="0"/>
            <w:bottom w:val="outset" w:color="000000" w:sz="4" w:space="0"/>
            <w:right w:val="outset" w:color="000000" w:sz="4" w:space="0"/>
            <w:insideH w:val="single" w:color="auto" w:sz="0" w:space="0"/>
            <w:insideV w:val="single" w:color="auto" w:sz="0" w:space="0"/>
          </w:tblBorders>
          <w:tblCellMar>
            <w:top w:w="0" w:type="dxa"/>
            <w:left w:w="108" w:type="dxa"/>
            <w:bottom w:w="0" w:type="dxa"/>
            <w:right w:w="108" w:type="dxa"/>
          </w:tblCellMar>
        </w:tblPrEx>
        <w:tc>
          <w:tcPr>
            <w:tcW w:w="1692" w:type="dxa"/>
            <w:tcBorders>
              <w:top w:val="outset" w:color="000000" w:sz="4" w:space="0"/>
              <w:left w:val="outset" w:color="000000" w:sz="4" w:space="0"/>
              <w:bottom w:val="outset" w:color="000000" w:sz="4" w:space="0"/>
              <w:right w:val="outset" w:color="000000" w:sz="4" w:space="0"/>
            </w:tcBorders>
            <w:tcMar>
              <w:top w:w="0" w:type="dxa"/>
              <w:left w:w="90" w:type="dxa"/>
              <w:bottom w:w="0" w:type="dxa"/>
              <w:right w:w="90" w:type="dxa"/>
            </w:tcMar>
          </w:tcPr>
          <w:p>
            <w:pPr>
              <w:pStyle w:val="38"/>
              <w:jc w:val="center"/>
              <w:rPr>
                <w:rFonts w:ascii="仿宋_GB2312" w:hAnsi="宋体" w:eastAsia="仿宋_GB2312" w:cs="宋体"/>
                <w:sz w:val="24"/>
                <w:szCs w:val="24"/>
              </w:rPr>
            </w:pPr>
            <w:r>
              <w:rPr>
                <w:rFonts w:ascii="仿宋_GB2312" w:hAnsi="宋体" w:eastAsia="仿宋_GB2312" w:cs="宋体"/>
                <w:sz w:val="24"/>
                <w:szCs w:val="24"/>
              </w:rPr>
              <w:t>70-79分</w:t>
            </w:r>
          </w:p>
        </w:tc>
        <w:tc>
          <w:tcPr>
            <w:tcW w:w="6604" w:type="dxa"/>
            <w:tcBorders>
              <w:top w:val="outset" w:color="000000" w:sz="4" w:space="0"/>
              <w:left w:val="outset" w:color="000000" w:sz="4" w:space="0"/>
              <w:bottom w:val="outset" w:color="000000" w:sz="4" w:space="0"/>
              <w:right w:val="outset" w:color="000000" w:sz="4" w:space="0"/>
            </w:tcBorders>
            <w:tcMar>
              <w:top w:w="0" w:type="dxa"/>
              <w:left w:w="90" w:type="dxa"/>
              <w:bottom w:w="0" w:type="dxa"/>
              <w:right w:w="90" w:type="dxa"/>
            </w:tcMar>
          </w:tcPr>
          <w:p>
            <w:pPr>
              <w:pStyle w:val="38"/>
              <w:rPr>
                <w:rFonts w:ascii="仿宋_GB2312" w:hAnsi="宋体" w:eastAsia="仿宋_GB2312" w:cs="宋体"/>
                <w:sz w:val="24"/>
                <w:szCs w:val="24"/>
              </w:rPr>
            </w:pPr>
            <w:r>
              <w:rPr>
                <w:rFonts w:ascii="仿宋_GB2312" w:hAnsi="宋体" w:eastAsia="仿宋_GB2312" w:cs="宋体"/>
                <w:sz w:val="24"/>
                <w:szCs w:val="24"/>
              </w:rPr>
              <w:t>采购人有权从</w:t>
            </w:r>
            <w:r>
              <w:rPr>
                <w:rFonts w:ascii="仿宋_GB2312" w:hAnsi="仿宋_GB2312" w:eastAsia="仿宋_GB2312"/>
                <w:sz w:val="24"/>
                <w:szCs w:val="24"/>
              </w:rPr>
              <w:t>该期次所有技术服务费用</w:t>
            </w:r>
            <w:r>
              <w:rPr>
                <w:rFonts w:ascii="仿宋_GB2312" w:hAnsi="宋体" w:eastAsia="仿宋_GB2312" w:cs="宋体"/>
                <w:sz w:val="24"/>
                <w:szCs w:val="24"/>
              </w:rPr>
              <w:t>中扣除中标价</w:t>
            </w:r>
            <w:r>
              <w:rPr>
                <w:rFonts w:ascii="仿宋_GB2312" w:hAnsi="宋体" w:eastAsia="仿宋_GB2312" w:cs="宋体"/>
                <w:sz w:val="24"/>
                <w:szCs w:val="24"/>
                <w:lang w:eastAsia="zh-CN"/>
              </w:rPr>
              <w:t>50%款项</w:t>
            </w:r>
          </w:p>
        </w:tc>
      </w:tr>
      <w:tr>
        <w:tblPrEx>
          <w:tblBorders>
            <w:top w:val="outset" w:color="000000" w:sz="4" w:space="0"/>
            <w:left w:val="outset" w:color="000000" w:sz="4" w:space="0"/>
            <w:bottom w:val="outset" w:color="000000" w:sz="4" w:space="0"/>
            <w:right w:val="outset" w:color="000000" w:sz="4"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692" w:type="dxa"/>
            <w:tcBorders>
              <w:top w:val="outset" w:color="000000" w:sz="4" w:space="0"/>
              <w:left w:val="outset" w:color="000000" w:sz="4" w:space="0"/>
              <w:bottom w:val="outset" w:color="000000" w:sz="4" w:space="0"/>
              <w:right w:val="outset" w:color="000000" w:sz="4" w:space="0"/>
            </w:tcBorders>
            <w:tcMar>
              <w:top w:w="0" w:type="dxa"/>
              <w:left w:w="90" w:type="dxa"/>
              <w:bottom w:w="0" w:type="dxa"/>
              <w:right w:w="90" w:type="dxa"/>
            </w:tcMar>
          </w:tcPr>
          <w:p>
            <w:pPr>
              <w:pStyle w:val="38"/>
              <w:jc w:val="center"/>
              <w:rPr>
                <w:rFonts w:ascii="仿宋_GB2312" w:hAnsi="宋体" w:eastAsia="仿宋_GB2312" w:cs="宋体"/>
                <w:sz w:val="24"/>
                <w:szCs w:val="24"/>
                <w:lang w:eastAsia="zh-CN"/>
              </w:rPr>
            </w:pPr>
            <w:r>
              <w:rPr>
                <w:rFonts w:hint="eastAsia" w:ascii="仿宋_GB2312" w:hAnsi="宋体" w:eastAsia="仿宋_GB2312" w:cs="宋体"/>
                <w:sz w:val="24"/>
                <w:szCs w:val="24"/>
                <w:lang w:val="en-US" w:eastAsia="zh-CN"/>
              </w:rPr>
              <w:t>70</w:t>
            </w:r>
            <w:r>
              <w:rPr>
                <w:rFonts w:ascii="仿宋_GB2312" w:hAnsi="宋体" w:eastAsia="仿宋_GB2312" w:cs="宋体"/>
                <w:sz w:val="24"/>
                <w:szCs w:val="24"/>
              </w:rPr>
              <w:t>分</w:t>
            </w:r>
            <w:r>
              <w:rPr>
                <w:rFonts w:ascii="仿宋_GB2312" w:hAnsi="宋体" w:eastAsia="仿宋_GB2312" w:cs="宋体"/>
                <w:sz w:val="24"/>
                <w:szCs w:val="24"/>
                <w:lang w:eastAsia="zh-CN"/>
              </w:rPr>
              <w:t>以下</w:t>
            </w:r>
          </w:p>
        </w:tc>
        <w:tc>
          <w:tcPr>
            <w:tcW w:w="6604" w:type="dxa"/>
            <w:tcBorders>
              <w:top w:val="outset" w:color="000000" w:sz="4" w:space="0"/>
              <w:left w:val="outset" w:color="000000" w:sz="4" w:space="0"/>
              <w:bottom w:val="outset" w:color="000000" w:sz="4" w:space="0"/>
              <w:right w:val="outset" w:color="000000" w:sz="4" w:space="0"/>
            </w:tcBorders>
            <w:tcMar>
              <w:top w:w="0" w:type="dxa"/>
              <w:left w:w="90" w:type="dxa"/>
              <w:bottom w:w="0" w:type="dxa"/>
              <w:right w:w="90" w:type="dxa"/>
            </w:tcMar>
          </w:tcPr>
          <w:p>
            <w:pPr>
              <w:pStyle w:val="38"/>
              <w:rPr>
                <w:rFonts w:ascii="仿宋_GB2312" w:hAnsi="宋体" w:eastAsia="仿宋_GB2312" w:cs="宋体"/>
                <w:sz w:val="24"/>
                <w:szCs w:val="24"/>
              </w:rPr>
            </w:pPr>
            <w:r>
              <w:rPr>
                <w:rFonts w:ascii="仿宋_GB2312" w:hAnsi="宋体" w:eastAsia="仿宋_GB2312" w:cs="宋体"/>
                <w:sz w:val="24"/>
                <w:szCs w:val="24"/>
                <w:lang w:eastAsia="zh-CN"/>
              </w:rPr>
              <w:t>采购人有权不予支付剩余的服务费用，且供应商需赔付采购人总合同款的30%作为违约金。</w:t>
            </w:r>
          </w:p>
        </w:tc>
      </w:tr>
    </w:tbl>
    <w:p>
      <w:pPr>
        <w:pStyle w:val="2"/>
        <w:numPr>
          <w:ilvl w:val="0"/>
          <w:numId w:val="4"/>
        </w:numPr>
        <w:ind w:firstLineChars="0"/>
        <w:rPr>
          <w:rFonts w:hint="eastAsia"/>
        </w:rPr>
      </w:pPr>
      <w:r>
        <w:rPr>
          <w:rFonts w:hint="eastAsia"/>
        </w:rPr>
        <w:t>服务报价</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服务报价：最高限价为46.7</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万元。</w:t>
      </w:r>
    </w:p>
    <w:p>
      <w:pPr>
        <w:pStyle w:val="2"/>
        <w:numPr>
          <w:ilvl w:val="0"/>
          <w:numId w:val="4"/>
        </w:numPr>
        <w:ind w:firstLineChars="0"/>
        <w:rPr>
          <w:rFonts w:hint="eastAsia"/>
        </w:rPr>
      </w:pPr>
      <w:r>
        <w:rPr>
          <w:rFonts w:hint="eastAsia"/>
        </w:rPr>
        <w:t>付款方式</w:t>
      </w:r>
    </w:p>
    <w:p>
      <w:pPr>
        <w:ind w:firstLine="640"/>
      </w:pPr>
      <w:r>
        <w:rPr>
          <w:rFonts w:hint="eastAsia" w:ascii="仿宋_GB2312" w:hAnsi="仿宋_GB2312" w:eastAsia="仿宋_GB2312" w:cs="仿宋_GB2312"/>
          <w:sz w:val="32"/>
          <w:szCs w:val="32"/>
        </w:rPr>
        <w:t>付款方式详见下表：</w:t>
      </w:r>
    </w:p>
    <w:tbl>
      <w:tblPr>
        <w:tblStyle w:val="18"/>
        <w:tblW w:w="5000" w:type="pct"/>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25"/>
        <w:gridCol w:w="1677"/>
        <w:gridCol w:w="55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Header/>
          <w:tblCellSpacing w:w="0" w:type="dxa"/>
        </w:trPr>
        <w:tc>
          <w:tcPr>
            <w:tcW w:w="1121" w:type="dxa"/>
            <w:vAlign w:val="center"/>
          </w:tcPr>
          <w:p>
            <w:pPr>
              <w:ind w:firstLine="0" w:firstLineChars="0"/>
              <w:jc w:val="center"/>
              <w:rPr>
                <w:b/>
                <w:bCs/>
              </w:rPr>
            </w:pPr>
            <w:r>
              <w:rPr>
                <w:rFonts w:hint="eastAsia"/>
                <w:b/>
                <w:bCs/>
              </w:rPr>
              <w:t>支付期次</w:t>
            </w:r>
          </w:p>
        </w:tc>
        <w:tc>
          <w:tcPr>
            <w:tcW w:w="1671" w:type="dxa"/>
            <w:vAlign w:val="center"/>
          </w:tcPr>
          <w:p>
            <w:pPr>
              <w:ind w:firstLine="0" w:firstLineChars="0"/>
              <w:jc w:val="center"/>
              <w:rPr>
                <w:b/>
                <w:bCs/>
              </w:rPr>
            </w:pPr>
            <w:r>
              <w:rPr>
                <w:rFonts w:hint="eastAsia"/>
                <w:b/>
                <w:bCs/>
              </w:rPr>
              <w:t>支付比例(%)</w:t>
            </w:r>
          </w:p>
        </w:tc>
        <w:tc>
          <w:tcPr>
            <w:tcW w:w="5504" w:type="dxa"/>
            <w:vAlign w:val="center"/>
          </w:tcPr>
          <w:p>
            <w:pPr>
              <w:ind w:firstLine="0" w:firstLineChars="0"/>
              <w:jc w:val="center"/>
              <w:rPr>
                <w:b/>
                <w:bCs/>
              </w:rPr>
            </w:pPr>
            <w:r>
              <w:rPr>
                <w:rFonts w:hint="eastAsia"/>
                <w:b/>
                <w:bCs/>
              </w:rPr>
              <w:t>支付要求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1121" w:type="dxa"/>
            <w:vAlign w:val="center"/>
          </w:tcPr>
          <w:p>
            <w:pPr>
              <w:ind w:firstLine="0" w:firstLineChars="0"/>
              <w:jc w:val="center"/>
            </w:pPr>
            <w:r>
              <w:rPr>
                <w:rFonts w:hint="eastAsia"/>
              </w:rPr>
              <w:t>1</w:t>
            </w:r>
          </w:p>
        </w:tc>
        <w:tc>
          <w:tcPr>
            <w:tcW w:w="1671" w:type="dxa"/>
            <w:vAlign w:val="center"/>
          </w:tcPr>
          <w:p>
            <w:pPr>
              <w:ind w:firstLine="0" w:firstLineChars="0"/>
              <w:jc w:val="center"/>
            </w:pPr>
            <w:r>
              <w:rPr>
                <w:rFonts w:hint="eastAsia"/>
                <w:lang w:val="en-US" w:eastAsia="zh-CN"/>
              </w:rPr>
              <w:t>3</w:t>
            </w:r>
            <w:r>
              <w:rPr>
                <w:rFonts w:hint="eastAsia"/>
              </w:rPr>
              <w:t>0</w:t>
            </w:r>
          </w:p>
        </w:tc>
        <w:tc>
          <w:tcPr>
            <w:tcW w:w="5504" w:type="dxa"/>
            <w:vAlign w:val="center"/>
          </w:tcPr>
          <w:p>
            <w:pPr>
              <w:ind w:firstLine="0" w:firstLineChars="0"/>
            </w:pPr>
            <w:r>
              <w:rPr>
                <w:rFonts w:hint="eastAsia"/>
              </w:rPr>
              <w:t>合同签订后，服务商在</w:t>
            </w:r>
            <w:r>
              <w:rPr>
                <w:rFonts w:hint="eastAsia"/>
                <w:lang w:val="en-US" w:eastAsia="zh-CN"/>
              </w:rPr>
              <w:t>21</w:t>
            </w:r>
            <w:r>
              <w:rPr>
                <w:rFonts w:hint="eastAsia"/>
              </w:rPr>
              <w:t>日内，完成第一期图层制作内容并提交成果，由采购人对该期次成果和服务情况进行考核。考核分数达到90分及以上，全额支付该期次服务费用。考核分数在80-89之间，支付该期次服务费用的80%。考核分数在70-79之间，支付该期次服务费用的50%。考核分数在</w:t>
            </w:r>
            <w:r>
              <w:rPr>
                <w:rFonts w:hint="eastAsia"/>
                <w:lang w:val="en-US" w:eastAsia="zh-CN"/>
              </w:rPr>
              <w:t>70</w:t>
            </w:r>
            <w:r>
              <w:rPr>
                <w:rFonts w:hint="eastAsia"/>
              </w:rPr>
              <w:t>分以下，采购人有权不予支付首付款及取消合同。成交服务商须开具款项等额正式税务发票。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1121" w:type="dxa"/>
            <w:vAlign w:val="center"/>
          </w:tcPr>
          <w:p>
            <w:pPr>
              <w:ind w:firstLine="0" w:firstLineChars="0"/>
              <w:jc w:val="center"/>
            </w:pPr>
            <w:r>
              <w:rPr>
                <w:rFonts w:hint="eastAsia"/>
              </w:rPr>
              <w:t>2</w:t>
            </w:r>
          </w:p>
        </w:tc>
        <w:tc>
          <w:tcPr>
            <w:tcW w:w="1671" w:type="dxa"/>
            <w:vAlign w:val="center"/>
          </w:tcPr>
          <w:p>
            <w:pPr>
              <w:ind w:firstLine="0" w:firstLineChars="0"/>
              <w:jc w:val="center"/>
            </w:pPr>
            <w:r>
              <w:rPr>
                <w:rFonts w:hint="eastAsia"/>
                <w:lang w:val="en-US" w:eastAsia="zh-CN"/>
              </w:rPr>
              <w:t>5</w:t>
            </w:r>
            <w:r>
              <w:rPr>
                <w:rFonts w:hint="eastAsia"/>
              </w:rPr>
              <w:t>0</w:t>
            </w:r>
          </w:p>
        </w:tc>
        <w:tc>
          <w:tcPr>
            <w:tcW w:w="5504" w:type="dxa"/>
            <w:vAlign w:val="center"/>
          </w:tcPr>
          <w:p>
            <w:pPr>
              <w:ind w:firstLine="0" w:firstLineChars="0"/>
            </w:pPr>
            <w:r>
              <w:rPr>
                <w:rFonts w:hint="eastAsia"/>
              </w:rPr>
              <w:t>合同签订后，服务商在6个月内，完成第二期图层制作内容并提交成果，由采购人对该期次成果和服务情况进行考核。考核分数达到90分及以上，全额支付该期次服务费用。考核分数在80-89之间，支付该期次服务费用的80%。考核分数在70-79之间，支付该期次服务费用的50%。考核分数在</w:t>
            </w:r>
            <w:r>
              <w:rPr>
                <w:rFonts w:hint="eastAsia"/>
                <w:lang w:val="en-US" w:eastAsia="zh-CN"/>
              </w:rPr>
              <w:t>70</w:t>
            </w:r>
            <w:r>
              <w:rPr>
                <w:rFonts w:hint="eastAsia"/>
              </w:rPr>
              <w:t>分以下，采购人有权不予支付剩余服务款及要求服务商赔付总合同款的30%作为违约金。若存在扣款情况的，采购方将直接在应付款中扣除。成交服务商须开具款项等额正式税务发票。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1121" w:type="dxa"/>
            <w:vAlign w:val="center"/>
          </w:tcPr>
          <w:p>
            <w:pPr>
              <w:ind w:firstLine="0" w:firstLineChars="0"/>
              <w:jc w:val="center"/>
              <w:rPr>
                <w:rFonts w:hint="eastAsia"/>
              </w:rPr>
            </w:pPr>
            <w:r>
              <w:rPr>
                <w:rFonts w:hint="eastAsia"/>
              </w:rPr>
              <w:t>3</w:t>
            </w:r>
          </w:p>
        </w:tc>
        <w:tc>
          <w:tcPr>
            <w:tcW w:w="1671" w:type="dxa"/>
            <w:vAlign w:val="center"/>
          </w:tcPr>
          <w:p>
            <w:pPr>
              <w:ind w:firstLine="0" w:firstLineChars="0"/>
              <w:jc w:val="center"/>
              <w:rPr>
                <w:rFonts w:hint="eastAsia"/>
              </w:rPr>
            </w:pPr>
            <w:r>
              <w:rPr>
                <w:rFonts w:hint="eastAsia"/>
                <w:lang w:val="en-US" w:eastAsia="zh-CN"/>
              </w:rPr>
              <w:t>2</w:t>
            </w:r>
            <w:r>
              <w:rPr>
                <w:rFonts w:hint="eastAsia"/>
              </w:rPr>
              <w:t>0</w:t>
            </w:r>
          </w:p>
        </w:tc>
        <w:tc>
          <w:tcPr>
            <w:tcW w:w="5504" w:type="dxa"/>
            <w:vAlign w:val="center"/>
          </w:tcPr>
          <w:p>
            <w:pPr>
              <w:ind w:firstLine="0" w:firstLineChars="0"/>
              <w:rPr>
                <w:rFonts w:hint="eastAsia"/>
              </w:rPr>
            </w:pPr>
            <w:r>
              <w:rPr>
                <w:rFonts w:hint="eastAsia"/>
              </w:rPr>
              <w:t>合同签订后12个月，完成常态化服务支撑并提交成果，由采购人对该期次成果和服务情况进行考核。考核分数达到90分及以上，全额支付该期次服务费用。考核分数在80-89之间，支付该期次服务费用的80%。考核分数在70-79之间，支付该期次服务费用的50%。考核分数在70分以下，采购人有权不予支付剩余服务款及要求服务商赔付总合同款的30%作为违约金。若存在扣款情况的，采购方将直接在应付款中扣除。成交服务商须开具款项等额正式税务发票。</w:t>
            </w:r>
          </w:p>
        </w:tc>
      </w:tr>
    </w:tbl>
    <w:p>
      <w:pPr>
        <w:pStyle w:val="36"/>
        <w:spacing w:before="156"/>
        <w:ind w:firstLine="480"/>
        <w:rPr>
          <w:rFonts w:hint="eastAsia"/>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20"/>
      </w:pPr>
      <w:r>
        <w:separator/>
      </w:r>
    </w:p>
  </w:endnote>
  <w:endnote w:type="continuationSeparator" w:id="1">
    <w:p>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libri Light">
    <w:altName w:val="Calibri"/>
    <w:panose1 w:val="020F0302020204030204"/>
    <w:charset w:val="00"/>
    <w:family w:val="swiss"/>
    <w:pitch w:val="default"/>
    <w:sig w:usb0="00000000" w:usb1="00000000" w:usb2="00000009" w:usb3="00000000" w:csb0="200001F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6811161"/>
    </w:sdtPr>
    <w:sdtContent>
      <w:p>
        <w:pPr>
          <w:pStyle w:val="13"/>
        </w:pPr>
        <w:r>
          <w:fldChar w:fldCharType="begin"/>
        </w:r>
        <w:r>
          <w:instrText xml:space="preserve">PAGE   \* MERGEFORMAT</w:instrText>
        </w:r>
        <w:r>
          <w:fldChar w:fldCharType="separate"/>
        </w:r>
        <w:r>
          <w:rPr>
            <w:lang w:val="zh-CN"/>
          </w:rPr>
          <w:t>3</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20"/>
      </w:pPr>
      <w:r>
        <w:separator/>
      </w:r>
    </w:p>
  </w:footnote>
  <w:footnote w:type="continuationSeparator" w:id="1">
    <w:p>
      <w:pPr>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0320CA"/>
    <w:multiLevelType w:val="singleLevel"/>
    <w:tmpl w:val="CE0320CA"/>
    <w:lvl w:ilvl="0" w:tentative="0">
      <w:start w:val="1"/>
      <w:numFmt w:val="chineseCounting"/>
      <w:suff w:val="nothing"/>
      <w:lvlText w:val="%1、"/>
      <w:lvlJc w:val="left"/>
      <w:rPr>
        <w:rFonts w:hint="eastAsia"/>
      </w:rPr>
    </w:lvl>
  </w:abstractNum>
  <w:abstractNum w:abstractNumId="1">
    <w:nsid w:val="D633E193"/>
    <w:multiLevelType w:val="singleLevel"/>
    <w:tmpl w:val="D633E193"/>
    <w:lvl w:ilvl="0" w:tentative="0">
      <w:start w:val="1"/>
      <w:numFmt w:val="decimal"/>
      <w:lvlText w:val="%1."/>
      <w:lvlJc w:val="left"/>
      <w:pPr>
        <w:ind w:left="425" w:hanging="425"/>
      </w:pPr>
      <w:rPr>
        <w:rFonts w:hint="default"/>
      </w:rPr>
    </w:lvl>
  </w:abstractNum>
  <w:abstractNum w:abstractNumId="2">
    <w:nsid w:val="05385506"/>
    <w:multiLevelType w:val="multilevel"/>
    <w:tmpl w:val="05385506"/>
    <w:lvl w:ilvl="0" w:tentative="0">
      <w:start w:val="1"/>
      <w:numFmt w:val="decimal"/>
      <w:pStyle w:val="4"/>
      <w:lvlText w:val="%1."/>
      <w:lvlJc w:val="left"/>
      <w:pPr>
        <w:ind w:left="1083" w:hanging="440"/>
      </w:pPr>
    </w:lvl>
    <w:lvl w:ilvl="1" w:tentative="0">
      <w:start w:val="1"/>
      <w:numFmt w:val="lowerLetter"/>
      <w:lvlText w:val="%2)"/>
      <w:lvlJc w:val="left"/>
      <w:pPr>
        <w:ind w:left="1523" w:hanging="440"/>
      </w:pPr>
    </w:lvl>
    <w:lvl w:ilvl="2" w:tentative="0">
      <w:start w:val="1"/>
      <w:numFmt w:val="lowerRoman"/>
      <w:lvlText w:val="%3."/>
      <w:lvlJc w:val="right"/>
      <w:pPr>
        <w:ind w:left="1963" w:hanging="440"/>
      </w:pPr>
    </w:lvl>
    <w:lvl w:ilvl="3" w:tentative="0">
      <w:start w:val="1"/>
      <w:numFmt w:val="decimal"/>
      <w:lvlText w:val="%4."/>
      <w:lvlJc w:val="left"/>
      <w:pPr>
        <w:ind w:left="2403" w:hanging="440"/>
      </w:pPr>
    </w:lvl>
    <w:lvl w:ilvl="4" w:tentative="0">
      <w:start w:val="1"/>
      <w:numFmt w:val="lowerLetter"/>
      <w:lvlText w:val="%5)"/>
      <w:lvlJc w:val="left"/>
      <w:pPr>
        <w:ind w:left="2843" w:hanging="440"/>
      </w:pPr>
    </w:lvl>
    <w:lvl w:ilvl="5" w:tentative="0">
      <w:start w:val="1"/>
      <w:numFmt w:val="lowerRoman"/>
      <w:lvlText w:val="%6."/>
      <w:lvlJc w:val="right"/>
      <w:pPr>
        <w:ind w:left="3283" w:hanging="440"/>
      </w:pPr>
    </w:lvl>
    <w:lvl w:ilvl="6" w:tentative="0">
      <w:start w:val="1"/>
      <w:numFmt w:val="decimal"/>
      <w:lvlText w:val="%7."/>
      <w:lvlJc w:val="left"/>
      <w:pPr>
        <w:ind w:left="3723" w:hanging="440"/>
      </w:pPr>
    </w:lvl>
    <w:lvl w:ilvl="7" w:tentative="0">
      <w:start w:val="1"/>
      <w:numFmt w:val="lowerLetter"/>
      <w:lvlText w:val="%8)"/>
      <w:lvlJc w:val="left"/>
      <w:pPr>
        <w:ind w:left="4163" w:hanging="440"/>
      </w:pPr>
    </w:lvl>
    <w:lvl w:ilvl="8" w:tentative="0">
      <w:start w:val="1"/>
      <w:numFmt w:val="lowerRoman"/>
      <w:lvlText w:val="%9."/>
      <w:lvlJc w:val="right"/>
      <w:pPr>
        <w:ind w:left="4603" w:hanging="440"/>
      </w:pPr>
    </w:lvl>
  </w:abstractNum>
  <w:abstractNum w:abstractNumId="3">
    <w:nsid w:val="3BC95D55"/>
    <w:multiLevelType w:val="multilevel"/>
    <w:tmpl w:val="3BC95D55"/>
    <w:lvl w:ilvl="0" w:tentative="0">
      <w:start w:val="1"/>
      <w:numFmt w:val="decimal"/>
      <w:pStyle w:val="5"/>
      <w:lvlText w:val="（%1）"/>
      <w:lvlJc w:val="left"/>
      <w:pPr>
        <w:ind w:left="1080" w:hanging="440"/>
      </w:pPr>
      <w:rPr>
        <w:rFonts w:hint="eastAsia"/>
      </w:rPr>
    </w:lvl>
    <w:lvl w:ilvl="1" w:tentative="0">
      <w:start w:val="1"/>
      <w:numFmt w:val="lowerLetter"/>
      <w:lvlText w:val="%2)"/>
      <w:lvlJc w:val="left"/>
      <w:pPr>
        <w:ind w:left="1520" w:hanging="440"/>
      </w:pPr>
    </w:lvl>
    <w:lvl w:ilvl="2" w:tentative="0">
      <w:start w:val="1"/>
      <w:numFmt w:val="lowerRoman"/>
      <w:lvlText w:val="%3."/>
      <w:lvlJc w:val="right"/>
      <w:pPr>
        <w:ind w:left="1960" w:hanging="440"/>
      </w:pPr>
    </w:lvl>
    <w:lvl w:ilvl="3" w:tentative="0">
      <w:start w:val="1"/>
      <w:numFmt w:val="decimal"/>
      <w:lvlText w:val="%4."/>
      <w:lvlJc w:val="left"/>
      <w:pPr>
        <w:ind w:left="2400" w:hanging="440"/>
      </w:pPr>
    </w:lvl>
    <w:lvl w:ilvl="4" w:tentative="0">
      <w:start w:val="1"/>
      <w:numFmt w:val="lowerLetter"/>
      <w:lvlText w:val="%5)"/>
      <w:lvlJc w:val="left"/>
      <w:pPr>
        <w:ind w:left="2840" w:hanging="440"/>
      </w:pPr>
    </w:lvl>
    <w:lvl w:ilvl="5" w:tentative="0">
      <w:start w:val="1"/>
      <w:numFmt w:val="lowerRoman"/>
      <w:lvlText w:val="%6."/>
      <w:lvlJc w:val="right"/>
      <w:pPr>
        <w:ind w:left="3280" w:hanging="440"/>
      </w:pPr>
    </w:lvl>
    <w:lvl w:ilvl="6" w:tentative="0">
      <w:start w:val="1"/>
      <w:numFmt w:val="decimal"/>
      <w:lvlText w:val="%7."/>
      <w:lvlJc w:val="left"/>
      <w:pPr>
        <w:ind w:left="3720" w:hanging="440"/>
      </w:pPr>
    </w:lvl>
    <w:lvl w:ilvl="7" w:tentative="0">
      <w:start w:val="1"/>
      <w:numFmt w:val="lowerLetter"/>
      <w:lvlText w:val="%8)"/>
      <w:lvlJc w:val="left"/>
      <w:pPr>
        <w:ind w:left="4160" w:hanging="440"/>
      </w:pPr>
    </w:lvl>
    <w:lvl w:ilvl="8" w:tentative="0">
      <w:start w:val="1"/>
      <w:numFmt w:val="lowerRoman"/>
      <w:lvlText w:val="%9."/>
      <w:lvlJc w:val="right"/>
      <w:pPr>
        <w:ind w:left="4600" w:hanging="440"/>
      </w:pPr>
    </w:lvl>
  </w:abstractNum>
  <w:abstractNum w:abstractNumId="4">
    <w:nsid w:val="78791D69"/>
    <w:multiLevelType w:val="multilevel"/>
    <w:tmpl w:val="78791D69"/>
    <w:lvl w:ilvl="0" w:tentative="0">
      <w:start w:val="1"/>
      <w:numFmt w:val="chineseCountingThousand"/>
      <w:pStyle w:val="3"/>
      <w:suff w:val="space"/>
      <w:lvlText w:val="(%1)"/>
      <w:lvlJc w:val="left"/>
      <w:pPr>
        <w:ind w:left="1083" w:hanging="440"/>
      </w:pPr>
      <w:rPr>
        <w:rFonts w:hint="eastAsia"/>
      </w:rPr>
    </w:lvl>
    <w:lvl w:ilvl="1" w:tentative="0">
      <w:start w:val="1"/>
      <w:numFmt w:val="lowerLetter"/>
      <w:lvlText w:val="%2)"/>
      <w:lvlJc w:val="left"/>
      <w:pPr>
        <w:ind w:left="1523" w:hanging="440"/>
      </w:pPr>
      <w:rPr>
        <w:rFonts w:hint="eastAsia"/>
      </w:rPr>
    </w:lvl>
    <w:lvl w:ilvl="2" w:tentative="0">
      <w:start w:val="1"/>
      <w:numFmt w:val="lowerRoman"/>
      <w:lvlText w:val="%3."/>
      <w:lvlJc w:val="right"/>
      <w:pPr>
        <w:ind w:left="1963" w:hanging="440"/>
      </w:pPr>
      <w:rPr>
        <w:rFonts w:hint="eastAsia"/>
      </w:rPr>
    </w:lvl>
    <w:lvl w:ilvl="3" w:tentative="0">
      <w:start w:val="1"/>
      <w:numFmt w:val="decimal"/>
      <w:lvlText w:val="%4."/>
      <w:lvlJc w:val="left"/>
      <w:pPr>
        <w:ind w:left="2403" w:hanging="440"/>
      </w:pPr>
      <w:rPr>
        <w:rFonts w:hint="eastAsia"/>
      </w:rPr>
    </w:lvl>
    <w:lvl w:ilvl="4" w:tentative="0">
      <w:start w:val="1"/>
      <w:numFmt w:val="lowerLetter"/>
      <w:lvlText w:val="%5)"/>
      <w:lvlJc w:val="left"/>
      <w:pPr>
        <w:ind w:left="2843" w:hanging="440"/>
      </w:pPr>
      <w:rPr>
        <w:rFonts w:hint="eastAsia"/>
      </w:rPr>
    </w:lvl>
    <w:lvl w:ilvl="5" w:tentative="0">
      <w:start w:val="1"/>
      <w:numFmt w:val="lowerRoman"/>
      <w:lvlText w:val="%6."/>
      <w:lvlJc w:val="right"/>
      <w:pPr>
        <w:ind w:left="3283" w:hanging="440"/>
      </w:pPr>
      <w:rPr>
        <w:rFonts w:hint="eastAsia"/>
      </w:rPr>
    </w:lvl>
    <w:lvl w:ilvl="6" w:tentative="0">
      <w:start w:val="1"/>
      <w:numFmt w:val="decimal"/>
      <w:lvlText w:val="%7."/>
      <w:lvlJc w:val="left"/>
      <w:pPr>
        <w:ind w:left="3723" w:hanging="440"/>
      </w:pPr>
      <w:rPr>
        <w:rFonts w:hint="eastAsia"/>
      </w:rPr>
    </w:lvl>
    <w:lvl w:ilvl="7" w:tentative="0">
      <w:start w:val="1"/>
      <w:numFmt w:val="lowerLetter"/>
      <w:lvlText w:val="%8)"/>
      <w:lvlJc w:val="left"/>
      <w:pPr>
        <w:ind w:left="4163" w:hanging="440"/>
      </w:pPr>
      <w:rPr>
        <w:rFonts w:hint="eastAsia"/>
      </w:rPr>
    </w:lvl>
    <w:lvl w:ilvl="8" w:tentative="0">
      <w:start w:val="1"/>
      <w:numFmt w:val="lowerRoman"/>
      <w:lvlText w:val="%9."/>
      <w:lvlJc w:val="right"/>
      <w:pPr>
        <w:ind w:left="4603" w:hanging="440"/>
      </w:pPr>
      <w:rPr>
        <w:rFonts w:hint="eastAsia"/>
      </w:rPr>
    </w:lvl>
  </w:abstractNum>
  <w:num w:numId="1">
    <w:abstractNumId w:val="4"/>
  </w:num>
  <w:num w:numId="2">
    <w:abstractNumId w:val="2"/>
  </w:num>
  <w:num w:numId="3">
    <w:abstractNumId w:val="3"/>
  </w:num>
  <w:num w:numId="4">
    <w:abstractNumId w:val="0"/>
  </w:num>
  <w:num w:numId="5">
    <w:abstractNumId w:val="4"/>
    <w:lvlOverride w:ilvl="0">
      <w:startOverride w:val="1"/>
    </w:lvlOverride>
  </w:num>
  <w:num w:numId="6">
    <w:abstractNumId w:val="1"/>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BlYTUwMDYyMDdiYThjMTU1M2Y2MjlkMGI1MGZkMmIifQ=="/>
  </w:docVars>
  <w:rsids>
    <w:rsidRoot w:val="00471F23"/>
    <w:rsid w:val="00000FB3"/>
    <w:rsid w:val="000018FF"/>
    <w:rsid w:val="0000405D"/>
    <w:rsid w:val="000050FD"/>
    <w:rsid w:val="000075FD"/>
    <w:rsid w:val="00013AEF"/>
    <w:rsid w:val="00022660"/>
    <w:rsid w:val="000226F8"/>
    <w:rsid w:val="0002294C"/>
    <w:rsid w:val="00023335"/>
    <w:rsid w:val="00024F2B"/>
    <w:rsid w:val="000252A7"/>
    <w:rsid w:val="00026175"/>
    <w:rsid w:val="000311C4"/>
    <w:rsid w:val="00031988"/>
    <w:rsid w:val="00032556"/>
    <w:rsid w:val="00036233"/>
    <w:rsid w:val="00037DF2"/>
    <w:rsid w:val="00041BEB"/>
    <w:rsid w:val="00042193"/>
    <w:rsid w:val="00044667"/>
    <w:rsid w:val="00044CAD"/>
    <w:rsid w:val="000454DE"/>
    <w:rsid w:val="00045A38"/>
    <w:rsid w:val="00051F1B"/>
    <w:rsid w:val="00053A38"/>
    <w:rsid w:val="00055C74"/>
    <w:rsid w:val="0005748E"/>
    <w:rsid w:val="00057796"/>
    <w:rsid w:val="00061479"/>
    <w:rsid w:val="00063130"/>
    <w:rsid w:val="00064437"/>
    <w:rsid w:val="000654BC"/>
    <w:rsid w:val="00067D6A"/>
    <w:rsid w:val="00067F9C"/>
    <w:rsid w:val="00070E10"/>
    <w:rsid w:val="00071C16"/>
    <w:rsid w:val="00071F0E"/>
    <w:rsid w:val="0007293B"/>
    <w:rsid w:val="00073950"/>
    <w:rsid w:val="00073BFB"/>
    <w:rsid w:val="000756AE"/>
    <w:rsid w:val="000757A3"/>
    <w:rsid w:val="000766B1"/>
    <w:rsid w:val="00081D08"/>
    <w:rsid w:val="000834BE"/>
    <w:rsid w:val="00083BC4"/>
    <w:rsid w:val="000858C8"/>
    <w:rsid w:val="000876F0"/>
    <w:rsid w:val="00090352"/>
    <w:rsid w:val="00091006"/>
    <w:rsid w:val="00091D54"/>
    <w:rsid w:val="00091E07"/>
    <w:rsid w:val="00092E37"/>
    <w:rsid w:val="000937A2"/>
    <w:rsid w:val="00093EB9"/>
    <w:rsid w:val="00093FA2"/>
    <w:rsid w:val="00095960"/>
    <w:rsid w:val="00096B14"/>
    <w:rsid w:val="00096B89"/>
    <w:rsid w:val="000A16A6"/>
    <w:rsid w:val="000A50F5"/>
    <w:rsid w:val="000A5541"/>
    <w:rsid w:val="000A6FEC"/>
    <w:rsid w:val="000B3E8C"/>
    <w:rsid w:val="000B429C"/>
    <w:rsid w:val="000B641A"/>
    <w:rsid w:val="000B6433"/>
    <w:rsid w:val="000B6658"/>
    <w:rsid w:val="000B6D80"/>
    <w:rsid w:val="000C0C1D"/>
    <w:rsid w:val="000C0E9C"/>
    <w:rsid w:val="000C3A3E"/>
    <w:rsid w:val="000C3D0F"/>
    <w:rsid w:val="000C3ED5"/>
    <w:rsid w:val="000C404D"/>
    <w:rsid w:val="000C434F"/>
    <w:rsid w:val="000C4599"/>
    <w:rsid w:val="000C46F0"/>
    <w:rsid w:val="000C62C8"/>
    <w:rsid w:val="000C71D0"/>
    <w:rsid w:val="000D13E5"/>
    <w:rsid w:val="000D33C8"/>
    <w:rsid w:val="000D393B"/>
    <w:rsid w:val="000D3C4E"/>
    <w:rsid w:val="000D44B3"/>
    <w:rsid w:val="000D5F3D"/>
    <w:rsid w:val="000D67A9"/>
    <w:rsid w:val="000E1E55"/>
    <w:rsid w:val="000E2DA5"/>
    <w:rsid w:val="000E35F5"/>
    <w:rsid w:val="000E3D32"/>
    <w:rsid w:val="000E43A2"/>
    <w:rsid w:val="000E5E91"/>
    <w:rsid w:val="000E615A"/>
    <w:rsid w:val="000E72D5"/>
    <w:rsid w:val="000F1794"/>
    <w:rsid w:val="000F507A"/>
    <w:rsid w:val="000F585A"/>
    <w:rsid w:val="000F5FD2"/>
    <w:rsid w:val="000F669F"/>
    <w:rsid w:val="001007C8"/>
    <w:rsid w:val="001036CE"/>
    <w:rsid w:val="0010422B"/>
    <w:rsid w:val="00105359"/>
    <w:rsid w:val="00105841"/>
    <w:rsid w:val="00106FF3"/>
    <w:rsid w:val="00107FEC"/>
    <w:rsid w:val="0011025A"/>
    <w:rsid w:val="001104B9"/>
    <w:rsid w:val="00112631"/>
    <w:rsid w:val="00112AC4"/>
    <w:rsid w:val="0011368D"/>
    <w:rsid w:val="00116C0B"/>
    <w:rsid w:val="00117687"/>
    <w:rsid w:val="00120279"/>
    <w:rsid w:val="00120D10"/>
    <w:rsid w:val="00120F17"/>
    <w:rsid w:val="00123F34"/>
    <w:rsid w:val="00130F9A"/>
    <w:rsid w:val="001319F6"/>
    <w:rsid w:val="00131C96"/>
    <w:rsid w:val="0013242B"/>
    <w:rsid w:val="00132FB8"/>
    <w:rsid w:val="0013798D"/>
    <w:rsid w:val="00143053"/>
    <w:rsid w:val="001438B7"/>
    <w:rsid w:val="00150981"/>
    <w:rsid w:val="001546EA"/>
    <w:rsid w:val="00154BAA"/>
    <w:rsid w:val="001553F3"/>
    <w:rsid w:val="0016267E"/>
    <w:rsid w:val="00162A2C"/>
    <w:rsid w:val="001642DD"/>
    <w:rsid w:val="00164CEB"/>
    <w:rsid w:val="00171786"/>
    <w:rsid w:val="001733BC"/>
    <w:rsid w:val="0017375E"/>
    <w:rsid w:val="001737CD"/>
    <w:rsid w:val="00175B42"/>
    <w:rsid w:val="0017740E"/>
    <w:rsid w:val="00177BC7"/>
    <w:rsid w:val="0018184A"/>
    <w:rsid w:val="00182376"/>
    <w:rsid w:val="001839EE"/>
    <w:rsid w:val="00184F41"/>
    <w:rsid w:val="00185A8A"/>
    <w:rsid w:val="001866E8"/>
    <w:rsid w:val="001901F9"/>
    <w:rsid w:val="00193C54"/>
    <w:rsid w:val="001946FD"/>
    <w:rsid w:val="00196A00"/>
    <w:rsid w:val="001A07ED"/>
    <w:rsid w:val="001A1C09"/>
    <w:rsid w:val="001A23E0"/>
    <w:rsid w:val="001A435B"/>
    <w:rsid w:val="001A4B1A"/>
    <w:rsid w:val="001A5E10"/>
    <w:rsid w:val="001A7A3D"/>
    <w:rsid w:val="001B0EA3"/>
    <w:rsid w:val="001B2023"/>
    <w:rsid w:val="001B4E21"/>
    <w:rsid w:val="001B68CA"/>
    <w:rsid w:val="001B7A7C"/>
    <w:rsid w:val="001D0205"/>
    <w:rsid w:val="001D04B1"/>
    <w:rsid w:val="001D04DB"/>
    <w:rsid w:val="001D2C1A"/>
    <w:rsid w:val="001D4117"/>
    <w:rsid w:val="001D465E"/>
    <w:rsid w:val="001D475C"/>
    <w:rsid w:val="001D4C86"/>
    <w:rsid w:val="001D5055"/>
    <w:rsid w:val="001D5473"/>
    <w:rsid w:val="001D5D7C"/>
    <w:rsid w:val="001D670E"/>
    <w:rsid w:val="001E06F4"/>
    <w:rsid w:val="001E330D"/>
    <w:rsid w:val="001E56BE"/>
    <w:rsid w:val="001E79A6"/>
    <w:rsid w:val="001F0304"/>
    <w:rsid w:val="001F0BCB"/>
    <w:rsid w:val="001F52F8"/>
    <w:rsid w:val="00200961"/>
    <w:rsid w:val="0020221C"/>
    <w:rsid w:val="002075FF"/>
    <w:rsid w:val="00210023"/>
    <w:rsid w:val="00214C1A"/>
    <w:rsid w:val="002209E3"/>
    <w:rsid w:val="002213A6"/>
    <w:rsid w:val="0022558D"/>
    <w:rsid w:val="00230E15"/>
    <w:rsid w:val="00233220"/>
    <w:rsid w:val="00234083"/>
    <w:rsid w:val="00235F28"/>
    <w:rsid w:val="0024318A"/>
    <w:rsid w:val="00244135"/>
    <w:rsid w:val="002443DA"/>
    <w:rsid w:val="0024499F"/>
    <w:rsid w:val="00244EE8"/>
    <w:rsid w:val="002462A9"/>
    <w:rsid w:val="002465DD"/>
    <w:rsid w:val="00246CF1"/>
    <w:rsid w:val="00247FF5"/>
    <w:rsid w:val="00255DCE"/>
    <w:rsid w:val="00257BF4"/>
    <w:rsid w:val="00257EAF"/>
    <w:rsid w:val="00260564"/>
    <w:rsid w:val="00261154"/>
    <w:rsid w:val="00261D68"/>
    <w:rsid w:val="00262641"/>
    <w:rsid w:val="002635CD"/>
    <w:rsid w:val="00265E12"/>
    <w:rsid w:val="002663BA"/>
    <w:rsid w:val="00266CDC"/>
    <w:rsid w:val="002700CE"/>
    <w:rsid w:val="00270644"/>
    <w:rsid w:val="002709FE"/>
    <w:rsid w:val="00270CC2"/>
    <w:rsid w:val="002725BD"/>
    <w:rsid w:val="00272E57"/>
    <w:rsid w:val="00274019"/>
    <w:rsid w:val="002743A8"/>
    <w:rsid w:val="0028740D"/>
    <w:rsid w:val="00287595"/>
    <w:rsid w:val="00290864"/>
    <w:rsid w:val="00290D4A"/>
    <w:rsid w:val="0029151F"/>
    <w:rsid w:val="002916A8"/>
    <w:rsid w:val="00293AAB"/>
    <w:rsid w:val="00294306"/>
    <w:rsid w:val="0029505F"/>
    <w:rsid w:val="00296248"/>
    <w:rsid w:val="002A17F0"/>
    <w:rsid w:val="002A1C58"/>
    <w:rsid w:val="002A2E64"/>
    <w:rsid w:val="002A4160"/>
    <w:rsid w:val="002A522C"/>
    <w:rsid w:val="002A76CF"/>
    <w:rsid w:val="002A7A56"/>
    <w:rsid w:val="002B008F"/>
    <w:rsid w:val="002B1014"/>
    <w:rsid w:val="002B2A4D"/>
    <w:rsid w:val="002B4E82"/>
    <w:rsid w:val="002B553B"/>
    <w:rsid w:val="002C1861"/>
    <w:rsid w:val="002C1EFF"/>
    <w:rsid w:val="002C4833"/>
    <w:rsid w:val="002C609E"/>
    <w:rsid w:val="002C6C2A"/>
    <w:rsid w:val="002C775D"/>
    <w:rsid w:val="002D3487"/>
    <w:rsid w:val="002E02DB"/>
    <w:rsid w:val="002E177D"/>
    <w:rsid w:val="002E5279"/>
    <w:rsid w:val="002E63B2"/>
    <w:rsid w:val="002E7FC7"/>
    <w:rsid w:val="002F1786"/>
    <w:rsid w:val="002F1B38"/>
    <w:rsid w:val="002F4617"/>
    <w:rsid w:val="002F685F"/>
    <w:rsid w:val="002F78D1"/>
    <w:rsid w:val="003003F1"/>
    <w:rsid w:val="003013AC"/>
    <w:rsid w:val="00304A69"/>
    <w:rsid w:val="00306151"/>
    <w:rsid w:val="00307C6B"/>
    <w:rsid w:val="0031295F"/>
    <w:rsid w:val="00312F54"/>
    <w:rsid w:val="00313E48"/>
    <w:rsid w:val="00315620"/>
    <w:rsid w:val="00316E5D"/>
    <w:rsid w:val="00317BAA"/>
    <w:rsid w:val="00320D09"/>
    <w:rsid w:val="00322C79"/>
    <w:rsid w:val="00322F84"/>
    <w:rsid w:val="00323BEC"/>
    <w:rsid w:val="00324DFA"/>
    <w:rsid w:val="00327FCC"/>
    <w:rsid w:val="0033140B"/>
    <w:rsid w:val="00331AA9"/>
    <w:rsid w:val="003345B9"/>
    <w:rsid w:val="00334EDA"/>
    <w:rsid w:val="00336817"/>
    <w:rsid w:val="00340D5B"/>
    <w:rsid w:val="0034262D"/>
    <w:rsid w:val="00342802"/>
    <w:rsid w:val="0034596E"/>
    <w:rsid w:val="003464D3"/>
    <w:rsid w:val="00352038"/>
    <w:rsid w:val="0035517A"/>
    <w:rsid w:val="00356082"/>
    <w:rsid w:val="0035665C"/>
    <w:rsid w:val="00363024"/>
    <w:rsid w:val="003638E2"/>
    <w:rsid w:val="0036634B"/>
    <w:rsid w:val="00367C65"/>
    <w:rsid w:val="00370F20"/>
    <w:rsid w:val="00370FF7"/>
    <w:rsid w:val="0037777E"/>
    <w:rsid w:val="003807F2"/>
    <w:rsid w:val="00381246"/>
    <w:rsid w:val="00381E08"/>
    <w:rsid w:val="00382978"/>
    <w:rsid w:val="00382B13"/>
    <w:rsid w:val="003836C8"/>
    <w:rsid w:val="00383FF7"/>
    <w:rsid w:val="00386014"/>
    <w:rsid w:val="00390ABC"/>
    <w:rsid w:val="00391D00"/>
    <w:rsid w:val="00393BFF"/>
    <w:rsid w:val="00394953"/>
    <w:rsid w:val="00397132"/>
    <w:rsid w:val="00397562"/>
    <w:rsid w:val="00397603"/>
    <w:rsid w:val="003A02D2"/>
    <w:rsid w:val="003A0AB5"/>
    <w:rsid w:val="003A2445"/>
    <w:rsid w:val="003A4BBA"/>
    <w:rsid w:val="003A6484"/>
    <w:rsid w:val="003B2DB1"/>
    <w:rsid w:val="003B3303"/>
    <w:rsid w:val="003B34B6"/>
    <w:rsid w:val="003B3D5D"/>
    <w:rsid w:val="003B3E71"/>
    <w:rsid w:val="003B4733"/>
    <w:rsid w:val="003B58BF"/>
    <w:rsid w:val="003C0478"/>
    <w:rsid w:val="003C15CD"/>
    <w:rsid w:val="003C2B66"/>
    <w:rsid w:val="003C3645"/>
    <w:rsid w:val="003C3C3A"/>
    <w:rsid w:val="003C47D2"/>
    <w:rsid w:val="003C78B6"/>
    <w:rsid w:val="003D33B8"/>
    <w:rsid w:val="003D5DBD"/>
    <w:rsid w:val="003D71E8"/>
    <w:rsid w:val="003D7960"/>
    <w:rsid w:val="003E0318"/>
    <w:rsid w:val="003E4385"/>
    <w:rsid w:val="003F042B"/>
    <w:rsid w:val="003F05F9"/>
    <w:rsid w:val="003F0964"/>
    <w:rsid w:val="003F0B2F"/>
    <w:rsid w:val="003F3AB9"/>
    <w:rsid w:val="004014DC"/>
    <w:rsid w:val="00404109"/>
    <w:rsid w:val="004115A2"/>
    <w:rsid w:val="00411EA3"/>
    <w:rsid w:val="00412845"/>
    <w:rsid w:val="00412EB4"/>
    <w:rsid w:val="00417703"/>
    <w:rsid w:val="00417AAA"/>
    <w:rsid w:val="00417F98"/>
    <w:rsid w:val="004216C4"/>
    <w:rsid w:val="00421AA1"/>
    <w:rsid w:val="0042371F"/>
    <w:rsid w:val="00425540"/>
    <w:rsid w:val="004257AC"/>
    <w:rsid w:val="004304C7"/>
    <w:rsid w:val="00430C14"/>
    <w:rsid w:val="00430D09"/>
    <w:rsid w:val="00431D85"/>
    <w:rsid w:val="00433A7A"/>
    <w:rsid w:val="00433DE4"/>
    <w:rsid w:val="00434FD0"/>
    <w:rsid w:val="004355BC"/>
    <w:rsid w:val="00436B20"/>
    <w:rsid w:val="00437594"/>
    <w:rsid w:val="004378A1"/>
    <w:rsid w:val="004378AD"/>
    <w:rsid w:val="00442DAC"/>
    <w:rsid w:val="004439AE"/>
    <w:rsid w:val="0044513E"/>
    <w:rsid w:val="00446C70"/>
    <w:rsid w:val="00450EA4"/>
    <w:rsid w:val="00454833"/>
    <w:rsid w:val="00454AF1"/>
    <w:rsid w:val="00454CCA"/>
    <w:rsid w:val="00456124"/>
    <w:rsid w:val="00457805"/>
    <w:rsid w:val="00460D0E"/>
    <w:rsid w:val="00461612"/>
    <w:rsid w:val="00461E4A"/>
    <w:rsid w:val="00464198"/>
    <w:rsid w:val="004651C1"/>
    <w:rsid w:val="004666C6"/>
    <w:rsid w:val="00470A58"/>
    <w:rsid w:val="0047119A"/>
    <w:rsid w:val="00471F23"/>
    <w:rsid w:val="00473A84"/>
    <w:rsid w:val="00474307"/>
    <w:rsid w:val="00474622"/>
    <w:rsid w:val="00476296"/>
    <w:rsid w:val="00477893"/>
    <w:rsid w:val="00481381"/>
    <w:rsid w:val="004819AE"/>
    <w:rsid w:val="00491FA9"/>
    <w:rsid w:val="004938DD"/>
    <w:rsid w:val="00496DA1"/>
    <w:rsid w:val="004A27A2"/>
    <w:rsid w:val="004A34FC"/>
    <w:rsid w:val="004A3D40"/>
    <w:rsid w:val="004A449F"/>
    <w:rsid w:val="004A4C33"/>
    <w:rsid w:val="004B06E6"/>
    <w:rsid w:val="004B0B97"/>
    <w:rsid w:val="004B137F"/>
    <w:rsid w:val="004B2407"/>
    <w:rsid w:val="004B3068"/>
    <w:rsid w:val="004B348E"/>
    <w:rsid w:val="004B3599"/>
    <w:rsid w:val="004B4B16"/>
    <w:rsid w:val="004C12B2"/>
    <w:rsid w:val="004C42B5"/>
    <w:rsid w:val="004C527D"/>
    <w:rsid w:val="004C7337"/>
    <w:rsid w:val="004D16C6"/>
    <w:rsid w:val="004D2013"/>
    <w:rsid w:val="004D2424"/>
    <w:rsid w:val="004D30EE"/>
    <w:rsid w:val="004D56E7"/>
    <w:rsid w:val="004E168C"/>
    <w:rsid w:val="004E1F2E"/>
    <w:rsid w:val="004E30ED"/>
    <w:rsid w:val="004E3859"/>
    <w:rsid w:val="004E69AF"/>
    <w:rsid w:val="004F1C02"/>
    <w:rsid w:val="004F3AD8"/>
    <w:rsid w:val="004F4D55"/>
    <w:rsid w:val="004F61A4"/>
    <w:rsid w:val="004F68CD"/>
    <w:rsid w:val="004F704A"/>
    <w:rsid w:val="005009DD"/>
    <w:rsid w:val="00503706"/>
    <w:rsid w:val="00505495"/>
    <w:rsid w:val="005064A8"/>
    <w:rsid w:val="0051485E"/>
    <w:rsid w:val="0051651B"/>
    <w:rsid w:val="00516958"/>
    <w:rsid w:val="0051730E"/>
    <w:rsid w:val="00524C1C"/>
    <w:rsid w:val="005250D9"/>
    <w:rsid w:val="00526A96"/>
    <w:rsid w:val="00526D13"/>
    <w:rsid w:val="005300FF"/>
    <w:rsid w:val="00530528"/>
    <w:rsid w:val="005317DF"/>
    <w:rsid w:val="00531B42"/>
    <w:rsid w:val="00531D00"/>
    <w:rsid w:val="00533225"/>
    <w:rsid w:val="005339B8"/>
    <w:rsid w:val="00533B6B"/>
    <w:rsid w:val="00535F7A"/>
    <w:rsid w:val="00537B4B"/>
    <w:rsid w:val="00541312"/>
    <w:rsid w:val="005427F8"/>
    <w:rsid w:val="0054334B"/>
    <w:rsid w:val="005436B4"/>
    <w:rsid w:val="00545B04"/>
    <w:rsid w:val="00545E13"/>
    <w:rsid w:val="00550395"/>
    <w:rsid w:val="005525FA"/>
    <w:rsid w:val="00552B50"/>
    <w:rsid w:val="00552FD1"/>
    <w:rsid w:val="0055469A"/>
    <w:rsid w:val="00555DC6"/>
    <w:rsid w:val="005569D7"/>
    <w:rsid w:val="0056023A"/>
    <w:rsid w:val="00564622"/>
    <w:rsid w:val="0056599E"/>
    <w:rsid w:val="005668DA"/>
    <w:rsid w:val="00571841"/>
    <w:rsid w:val="00571F2B"/>
    <w:rsid w:val="00572887"/>
    <w:rsid w:val="00573A78"/>
    <w:rsid w:val="00575DAB"/>
    <w:rsid w:val="00577DC5"/>
    <w:rsid w:val="005807C5"/>
    <w:rsid w:val="00580E20"/>
    <w:rsid w:val="005822A1"/>
    <w:rsid w:val="00585744"/>
    <w:rsid w:val="005904CF"/>
    <w:rsid w:val="00595E1A"/>
    <w:rsid w:val="00596316"/>
    <w:rsid w:val="005A07DB"/>
    <w:rsid w:val="005A38B1"/>
    <w:rsid w:val="005A4A37"/>
    <w:rsid w:val="005A5D7C"/>
    <w:rsid w:val="005A64A4"/>
    <w:rsid w:val="005A74F5"/>
    <w:rsid w:val="005B2898"/>
    <w:rsid w:val="005B3917"/>
    <w:rsid w:val="005B3A48"/>
    <w:rsid w:val="005B42A4"/>
    <w:rsid w:val="005B5D8A"/>
    <w:rsid w:val="005B65FE"/>
    <w:rsid w:val="005C23CC"/>
    <w:rsid w:val="005C2B8F"/>
    <w:rsid w:val="005C5034"/>
    <w:rsid w:val="005C6E71"/>
    <w:rsid w:val="005C7EC9"/>
    <w:rsid w:val="005D0461"/>
    <w:rsid w:val="005D0A23"/>
    <w:rsid w:val="005D10CE"/>
    <w:rsid w:val="005D1FC9"/>
    <w:rsid w:val="005D225E"/>
    <w:rsid w:val="005D4868"/>
    <w:rsid w:val="005D4E2B"/>
    <w:rsid w:val="005D5F7A"/>
    <w:rsid w:val="005E1402"/>
    <w:rsid w:val="005E1BA8"/>
    <w:rsid w:val="005E3D87"/>
    <w:rsid w:val="005E40BB"/>
    <w:rsid w:val="005E6801"/>
    <w:rsid w:val="005E6C9E"/>
    <w:rsid w:val="005E6DA3"/>
    <w:rsid w:val="005E75BD"/>
    <w:rsid w:val="005F4CC4"/>
    <w:rsid w:val="005F7CFF"/>
    <w:rsid w:val="005F7E79"/>
    <w:rsid w:val="00603B95"/>
    <w:rsid w:val="0060522D"/>
    <w:rsid w:val="00605ED0"/>
    <w:rsid w:val="00607B73"/>
    <w:rsid w:val="0061121B"/>
    <w:rsid w:val="006133E8"/>
    <w:rsid w:val="00613D06"/>
    <w:rsid w:val="0061449F"/>
    <w:rsid w:val="006148FD"/>
    <w:rsid w:val="00615D88"/>
    <w:rsid w:val="0062145B"/>
    <w:rsid w:val="00621712"/>
    <w:rsid w:val="00622D03"/>
    <w:rsid w:val="00623C73"/>
    <w:rsid w:val="00623DBC"/>
    <w:rsid w:val="00625A5E"/>
    <w:rsid w:val="00625C93"/>
    <w:rsid w:val="006301BE"/>
    <w:rsid w:val="00630344"/>
    <w:rsid w:val="006328A8"/>
    <w:rsid w:val="00635EC7"/>
    <w:rsid w:val="0063679F"/>
    <w:rsid w:val="00637A42"/>
    <w:rsid w:val="0064016D"/>
    <w:rsid w:val="0064056F"/>
    <w:rsid w:val="00643BD5"/>
    <w:rsid w:val="00652556"/>
    <w:rsid w:val="00653938"/>
    <w:rsid w:val="00653A11"/>
    <w:rsid w:val="00654E14"/>
    <w:rsid w:val="0066062B"/>
    <w:rsid w:val="00660A46"/>
    <w:rsid w:val="00660A94"/>
    <w:rsid w:val="00660F3A"/>
    <w:rsid w:val="00662E19"/>
    <w:rsid w:val="00663957"/>
    <w:rsid w:val="00664658"/>
    <w:rsid w:val="00667891"/>
    <w:rsid w:val="00671D70"/>
    <w:rsid w:val="00672EDE"/>
    <w:rsid w:val="00674E0D"/>
    <w:rsid w:val="00675326"/>
    <w:rsid w:val="006765D1"/>
    <w:rsid w:val="00676839"/>
    <w:rsid w:val="0068227B"/>
    <w:rsid w:val="00682286"/>
    <w:rsid w:val="006857A7"/>
    <w:rsid w:val="0069438A"/>
    <w:rsid w:val="00695D95"/>
    <w:rsid w:val="00696EBD"/>
    <w:rsid w:val="006A0C97"/>
    <w:rsid w:val="006A2B47"/>
    <w:rsid w:val="006A4C21"/>
    <w:rsid w:val="006B0270"/>
    <w:rsid w:val="006B08F8"/>
    <w:rsid w:val="006B1B9B"/>
    <w:rsid w:val="006B247F"/>
    <w:rsid w:val="006B3DBC"/>
    <w:rsid w:val="006B4DF6"/>
    <w:rsid w:val="006B50FB"/>
    <w:rsid w:val="006B7374"/>
    <w:rsid w:val="006B759B"/>
    <w:rsid w:val="006C001C"/>
    <w:rsid w:val="006C093F"/>
    <w:rsid w:val="006C4071"/>
    <w:rsid w:val="006C5B6F"/>
    <w:rsid w:val="006C6259"/>
    <w:rsid w:val="006C682E"/>
    <w:rsid w:val="006C7511"/>
    <w:rsid w:val="006C77F9"/>
    <w:rsid w:val="006D16B4"/>
    <w:rsid w:val="006D343E"/>
    <w:rsid w:val="006D5BA0"/>
    <w:rsid w:val="006D5F87"/>
    <w:rsid w:val="006E1F89"/>
    <w:rsid w:val="006E581C"/>
    <w:rsid w:val="006E5B8E"/>
    <w:rsid w:val="006E6694"/>
    <w:rsid w:val="006F23CC"/>
    <w:rsid w:val="006F299F"/>
    <w:rsid w:val="006F3C66"/>
    <w:rsid w:val="006F55FB"/>
    <w:rsid w:val="006F5618"/>
    <w:rsid w:val="00701763"/>
    <w:rsid w:val="00706C01"/>
    <w:rsid w:val="00711DE3"/>
    <w:rsid w:val="007130C2"/>
    <w:rsid w:val="00714677"/>
    <w:rsid w:val="00721A60"/>
    <w:rsid w:val="007253D9"/>
    <w:rsid w:val="00726B3D"/>
    <w:rsid w:val="00730957"/>
    <w:rsid w:val="007337B2"/>
    <w:rsid w:val="0073520F"/>
    <w:rsid w:val="00735F1A"/>
    <w:rsid w:val="0073619F"/>
    <w:rsid w:val="00737EBE"/>
    <w:rsid w:val="00740396"/>
    <w:rsid w:val="00741E64"/>
    <w:rsid w:val="007449F8"/>
    <w:rsid w:val="00750A51"/>
    <w:rsid w:val="00750AE3"/>
    <w:rsid w:val="0075238F"/>
    <w:rsid w:val="00752899"/>
    <w:rsid w:val="00752B8D"/>
    <w:rsid w:val="007539E4"/>
    <w:rsid w:val="00763E3A"/>
    <w:rsid w:val="00763F46"/>
    <w:rsid w:val="00763F96"/>
    <w:rsid w:val="00765CF5"/>
    <w:rsid w:val="007668B6"/>
    <w:rsid w:val="00770C26"/>
    <w:rsid w:val="00770E1C"/>
    <w:rsid w:val="00770ED6"/>
    <w:rsid w:val="007758C2"/>
    <w:rsid w:val="007762D2"/>
    <w:rsid w:val="007772AC"/>
    <w:rsid w:val="00777AD4"/>
    <w:rsid w:val="00783756"/>
    <w:rsid w:val="0078446F"/>
    <w:rsid w:val="00787DBF"/>
    <w:rsid w:val="00793BAA"/>
    <w:rsid w:val="00795191"/>
    <w:rsid w:val="007957AB"/>
    <w:rsid w:val="007957B4"/>
    <w:rsid w:val="00795D61"/>
    <w:rsid w:val="007960BF"/>
    <w:rsid w:val="007972A1"/>
    <w:rsid w:val="007A0F52"/>
    <w:rsid w:val="007A23E4"/>
    <w:rsid w:val="007A2B9E"/>
    <w:rsid w:val="007A360E"/>
    <w:rsid w:val="007A520B"/>
    <w:rsid w:val="007A5352"/>
    <w:rsid w:val="007A5B4C"/>
    <w:rsid w:val="007A7DA1"/>
    <w:rsid w:val="007B024C"/>
    <w:rsid w:val="007B165E"/>
    <w:rsid w:val="007B28C5"/>
    <w:rsid w:val="007B3F20"/>
    <w:rsid w:val="007B4D0C"/>
    <w:rsid w:val="007B57A7"/>
    <w:rsid w:val="007B6546"/>
    <w:rsid w:val="007B70BC"/>
    <w:rsid w:val="007C08FD"/>
    <w:rsid w:val="007C0F97"/>
    <w:rsid w:val="007C1336"/>
    <w:rsid w:val="007C3E04"/>
    <w:rsid w:val="007C448C"/>
    <w:rsid w:val="007C45B0"/>
    <w:rsid w:val="007C4FDB"/>
    <w:rsid w:val="007C5B07"/>
    <w:rsid w:val="007C6530"/>
    <w:rsid w:val="007D17F7"/>
    <w:rsid w:val="007D48C0"/>
    <w:rsid w:val="007D5250"/>
    <w:rsid w:val="007D6B29"/>
    <w:rsid w:val="007E2061"/>
    <w:rsid w:val="007E2DD3"/>
    <w:rsid w:val="007E2DFE"/>
    <w:rsid w:val="007E34E1"/>
    <w:rsid w:val="007E5369"/>
    <w:rsid w:val="007E57BB"/>
    <w:rsid w:val="007F16CE"/>
    <w:rsid w:val="007F46F7"/>
    <w:rsid w:val="007F4A60"/>
    <w:rsid w:val="00801E33"/>
    <w:rsid w:val="00807210"/>
    <w:rsid w:val="008100AC"/>
    <w:rsid w:val="00810EE5"/>
    <w:rsid w:val="00813F02"/>
    <w:rsid w:val="00816855"/>
    <w:rsid w:val="008178EC"/>
    <w:rsid w:val="00820C45"/>
    <w:rsid w:val="00821CBD"/>
    <w:rsid w:val="008231C4"/>
    <w:rsid w:val="00823A01"/>
    <w:rsid w:val="00823E5B"/>
    <w:rsid w:val="00823E81"/>
    <w:rsid w:val="0082641A"/>
    <w:rsid w:val="0082665D"/>
    <w:rsid w:val="00826B97"/>
    <w:rsid w:val="00830217"/>
    <w:rsid w:val="00830E5C"/>
    <w:rsid w:val="00831C7E"/>
    <w:rsid w:val="008323E1"/>
    <w:rsid w:val="00832C51"/>
    <w:rsid w:val="00833286"/>
    <w:rsid w:val="00833612"/>
    <w:rsid w:val="008341BC"/>
    <w:rsid w:val="008345FA"/>
    <w:rsid w:val="0083541F"/>
    <w:rsid w:val="0083614F"/>
    <w:rsid w:val="00836CB2"/>
    <w:rsid w:val="00837554"/>
    <w:rsid w:val="00841571"/>
    <w:rsid w:val="00841B81"/>
    <w:rsid w:val="00843419"/>
    <w:rsid w:val="00843827"/>
    <w:rsid w:val="00843CA1"/>
    <w:rsid w:val="008445BD"/>
    <w:rsid w:val="00854686"/>
    <w:rsid w:val="00856EA2"/>
    <w:rsid w:val="0086093C"/>
    <w:rsid w:val="0086206D"/>
    <w:rsid w:val="008633D7"/>
    <w:rsid w:val="0086384F"/>
    <w:rsid w:val="00865FBE"/>
    <w:rsid w:val="00866AF8"/>
    <w:rsid w:val="008745FC"/>
    <w:rsid w:val="00875197"/>
    <w:rsid w:val="00881298"/>
    <w:rsid w:val="00881434"/>
    <w:rsid w:val="00883124"/>
    <w:rsid w:val="008843CB"/>
    <w:rsid w:val="00890AAC"/>
    <w:rsid w:val="00890DEB"/>
    <w:rsid w:val="00891BD5"/>
    <w:rsid w:val="0089216D"/>
    <w:rsid w:val="00892FBF"/>
    <w:rsid w:val="0089454C"/>
    <w:rsid w:val="008972F7"/>
    <w:rsid w:val="008A0068"/>
    <w:rsid w:val="008A0AD4"/>
    <w:rsid w:val="008A16EF"/>
    <w:rsid w:val="008A4A3E"/>
    <w:rsid w:val="008A583D"/>
    <w:rsid w:val="008A6C20"/>
    <w:rsid w:val="008A6D1C"/>
    <w:rsid w:val="008A7D48"/>
    <w:rsid w:val="008B246E"/>
    <w:rsid w:val="008B2EB0"/>
    <w:rsid w:val="008B3919"/>
    <w:rsid w:val="008B6E66"/>
    <w:rsid w:val="008C006D"/>
    <w:rsid w:val="008C0332"/>
    <w:rsid w:val="008C07BC"/>
    <w:rsid w:val="008C1A46"/>
    <w:rsid w:val="008C2D78"/>
    <w:rsid w:val="008C32CE"/>
    <w:rsid w:val="008C4E26"/>
    <w:rsid w:val="008C6D45"/>
    <w:rsid w:val="008C7FE5"/>
    <w:rsid w:val="008D2A62"/>
    <w:rsid w:val="008D3ACD"/>
    <w:rsid w:val="008D7865"/>
    <w:rsid w:val="008E2252"/>
    <w:rsid w:val="008E3EC4"/>
    <w:rsid w:val="008F055F"/>
    <w:rsid w:val="008F1441"/>
    <w:rsid w:val="008F4877"/>
    <w:rsid w:val="008F55FA"/>
    <w:rsid w:val="008F74FA"/>
    <w:rsid w:val="008F7692"/>
    <w:rsid w:val="009017A4"/>
    <w:rsid w:val="00901DDC"/>
    <w:rsid w:val="00903062"/>
    <w:rsid w:val="00913C10"/>
    <w:rsid w:val="00916311"/>
    <w:rsid w:val="009165D3"/>
    <w:rsid w:val="00921428"/>
    <w:rsid w:val="00922BEC"/>
    <w:rsid w:val="00922C37"/>
    <w:rsid w:val="00923253"/>
    <w:rsid w:val="00923BE4"/>
    <w:rsid w:val="0092417C"/>
    <w:rsid w:val="00924CFB"/>
    <w:rsid w:val="00925234"/>
    <w:rsid w:val="009255F3"/>
    <w:rsid w:val="00926CDF"/>
    <w:rsid w:val="00927E1C"/>
    <w:rsid w:val="00930C04"/>
    <w:rsid w:val="009321BF"/>
    <w:rsid w:val="0093624C"/>
    <w:rsid w:val="00941523"/>
    <w:rsid w:val="00942B28"/>
    <w:rsid w:val="00945012"/>
    <w:rsid w:val="00945092"/>
    <w:rsid w:val="00946812"/>
    <w:rsid w:val="00947A01"/>
    <w:rsid w:val="009503A5"/>
    <w:rsid w:val="0095127D"/>
    <w:rsid w:val="009513AF"/>
    <w:rsid w:val="00951867"/>
    <w:rsid w:val="00952CDE"/>
    <w:rsid w:val="00952F1B"/>
    <w:rsid w:val="009539FD"/>
    <w:rsid w:val="00953D15"/>
    <w:rsid w:val="00954A7F"/>
    <w:rsid w:val="009552BB"/>
    <w:rsid w:val="009565D4"/>
    <w:rsid w:val="00956650"/>
    <w:rsid w:val="009575E7"/>
    <w:rsid w:val="00961362"/>
    <w:rsid w:val="009619E5"/>
    <w:rsid w:val="0096301E"/>
    <w:rsid w:val="00963B5E"/>
    <w:rsid w:val="00965DF7"/>
    <w:rsid w:val="0096633E"/>
    <w:rsid w:val="00971915"/>
    <w:rsid w:val="009734D0"/>
    <w:rsid w:val="00974988"/>
    <w:rsid w:val="009770AF"/>
    <w:rsid w:val="00977B90"/>
    <w:rsid w:val="00980125"/>
    <w:rsid w:val="00980F3B"/>
    <w:rsid w:val="00981335"/>
    <w:rsid w:val="00983642"/>
    <w:rsid w:val="009840B5"/>
    <w:rsid w:val="009855A1"/>
    <w:rsid w:val="0099063F"/>
    <w:rsid w:val="00992F95"/>
    <w:rsid w:val="009936BA"/>
    <w:rsid w:val="00993B0A"/>
    <w:rsid w:val="0099430C"/>
    <w:rsid w:val="00995B33"/>
    <w:rsid w:val="009967EF"/>
    <w:rsid w:val="00996D72"/>
    <w:rsid w:val="00997CD8"/>
    <w:rsid w:val="009A027B"/>
    <w:rsid w:val="009A0508"/>
    <w:rsid w:val="009A1D50"/>
    <w:rsid w:val="009A30BE"/>
    <w:rsid w:val="009A52FE"/>
    <w:rsid w:val="009A626B"/>
    <w:rsid w:val="009A6DB6"/>
    <w:rsid w:val="009A70C8"/>
    <w:rsid w:val="009B1B42"/>
    <w:rsid w:val="009B1D44"/>
    <w:rsid w:val="009B2A99"/>
    <w:rsid w:val="009B3F2F"/>
    <w:rsid w:val="009B62B0"/>
    <w:rsid w:val="009C302A"/>
    <w:rsid w:val="009C3BF9"/>
    <w:rsid w:val="009C53DD"/>
    <w:rsid w:val="009C56BE"/>
    <w:rsid w:val="009C58D4"/>
    <w:rsid w:val="009C7AF6"/>
    <w:rsid w:val="009D0C34"/>
    <w:rsid w:val="009D3D8F"/>
    <w:rsid w:val="009D6486"/>
    <w:rsid w:val="009D66A3"/>
    <w:rsid w:val="009D75D9"/>
    <w:rsid w:val="009E52EC"/>
    <w:rsid w:val="009E71B1"/>
    <w:rsid w:val="009E7586"/>
    <w:rsid w:val="009F2593"/>
    <w:rsid w:val="009F5E9A"/>
    <w:rsid w:val="009F65C3"/>
    <w:rsid w:val="00A00324"/>
    <w:rsid w:val="00A00A5D"/>
    <w:rsid w:val="00A01AA7"/>
    <w:rsid w:val="00A01B00"/>
    <w:rsid w:val="00A0464D"/>
    <w:rsid w:val="00A0751E"/>
    <w:rsid w:val="00A07A15"/>
    <w:rsid w:val="00A103F5"/>
    <w:rsid w:val="00A10668"/>
    <w:rsid w:val="00A1080D"/>
    <w:rsid w:val="00A11AC6"/>
    <w:rsid w:val="00A142C3"/>
    <w:rsid w:val="00A15925"/>
    <w:rsid w:val="00A15D04"/>
    <w:rsid w:val="00A16F66"/>
    <w:rsid w:val="00A21964"/>
    <w:rsid w:val="00A276FF"/>
    <w:rsid w:val="00A30758"/>
    <w:rsid w:val="00A30AC4"/>
    <w:rsid w:val="00A31BD7"/>
    <w:rsid w:val="00A3331A"/>
    <w:rsid w:val="00A343A5"/>
    <w:rsid w:val="00A35C08"/>
    <w:rsid w:val="00A40F33"/>
    <w:rsid w:val="00A430F8"/>
    <w:rsid w:val="00A43FF8"/>
    <w:rsid w:val="00A443AE"/>
    <w:rsid w:val="00A46141"/>
    <w:rsid w:val="00A46AE9"/>
    <w:rsid w:val="00A50A12"/>
    <w:rsid w:val="00A50A86"/>
    <w:rsid w:val="00A53B92"/>
    <w:rsid w:val="00A53BCE"/>
    <w:rsid w:val="00A53CD4"/>
    <w:rsid w:val="00A5545C"/>
    <w:rsid w:val="00A554F4"/>
    <w:rsid w:val="00A606F1"/>
    <w:rsid w:val="00A60F60"/>
    <w:rsid w:val="00A6428F"/>
    <w:rsid w:val="00A64CA7"/>
    <w:rsid w:val="00A65652"/>
    <w:rsid w:val="00A65801"/>
    <w:rsid w:val="00A66840"/>
    <w:rsid w:val="00A66B32"/>
    <w:rsid w:val="00A67C23"/>
    <w:rsid w:val="00A703E1"/>
    <w:rsid w:val="00A713BE"/>
    <w:rsid w:val="00A72114"/>
    <w:rsid w:val="00A73CCF"/>
    <w:rsid w:val="00A74ADA"/>
    <w:rsid w:val="00A777CE"/>
    <w:rsid w:val="00A81F6D"/>
    <w:rsid w:val="00A825F0"/>
    <w:rsid w:val="00A86648"/>
    <w:rsid w:val="00A90AC0"/>
    <w:rsid w:val="00A9580B"/>
    <w:rsid w:val="00AA0A4A"/>
    <w:rsid w:val="00AA1C28"/>
    <w:rsid w:val="00AA325A"/>
    <w:rsid w:val="00AA3748"/>
    <w:rsid w:val="00AA3CEA"/>
    <w:rsid w:val="00AA64D7"/>
    <w:rsid w:val="00AB12E6"/>
    <w:rsid w:val="00AB210B"/>
    <w:rsid w:val="00AB417F"/>
    <w:rsid w:val="00AB4E79"/>
    <w:rsid w:val="00AB4FC2"/>
    <w:rsid w:val="00AB78B3"/>
    <w:rsid w:val="00AC039A"/>
    <w:rsid w:val="00AC0F0D"/>
    <w:rsid w:val="00AC1071"/>
    <w:rsid w:val="00AC2138"/>
    <w:rsid w:val="00AC2741"/>
    <w:rsid w:val="00AC42B0"/>
    <w:rsid w:val="00AC4BD4"/>
    <w:rsid w:val="00AC704F"/>
    <w:rsid w:val="00AC7D86"/>
    <w:rsid w:val="00AD0093"/>
    <w:rsid w:val="00AD2456"/>
    <w:rsid w:val="00AD3D1E"/>
    <w:rsid w:val="00AD48FD"/>
    <w:rsid w:val="00AD505A"/>
    <w:rsid w:val="00AD65AC"/>
    <w:rsid w:val="00AE4F38"/>
    <w:rsid w:val="00AE529D"/>
    <w:rsid w:val="00AE55F0"/>
    <w:rsid w:val="00AF2AE1"/>
    <w:rsid w:val="00AF3A70"/>
    <w:rsid w:val="00AF47E6"/>
    <w:rsid w:val="00AF645A"/>
    <w:rsid w:val="00B00A2D"/>
    <w:rsid w:val="00B00A9E"/>
    <w:rsid w:val="00B0178A"/>
    <w:rsid w:val="00B04306"/>
    <w:rsid w:val="00B04E44"/>
    <w:rsid w:val="00B0615D"/>
    <w:rsid w:val="00B12E00"/>
    <w:rsid w:val="00B22C4D"/>
    <w:rsid w:val="00B23050"/>
    <w:rsid w:val="00B237BB"/>
    <w:rsid w:val="00B27A78"/>
    <w:rsid w:val="00B30D43"/>
    <w:rsid w:val="00B313FE"/>
    <w:rsid w:val="00B322F7"/>
    <w:rsid w:val="00B322FE"/>
    <w:rsid w:val="00B326E7"/>
    <w:rsid w:val="00B32FAC"/>
    <w:rsid w:val="00B3691D"/>
    <w:rsid w:val="00B36B52"/>
    <w:rsid w:val="00B403BC"/>
    <w:rsid w:val="00B4307E"/>
    <w:rsid w:val="00B4565B"/>
    <w:rsid w:val="00B5674D"/>
    <w:rsid w:val="00B60545"/>
    <w:rsid w:val="00B60B20"/>
    <w:rsid w:val="00B60F0F"/>
    <w:rsid w:val="00B617F6"/>
    <w:rsid w:val="00B61970"/>
    <w:rsid w:val="00B64F71"/>
    <w:rsid w:val="00B65296"/>
    <w:rsid w:val="00B66133"/>
    <w:rsid w:val="00B66930"/>
    <w:rsid w:val="00B6722B"/>
    <w:rsid w:val="00B679A6"/>
    <w:rsid w:val="00B67DE6"/>
    <w:rsid w:val="00B70527"/>
    <w:rsid w:val="00B70A6E"/>
    <w:rsid w:val="00B81830"/>
    <w:rsid w:val="00B81CF2"/>
    <w:rsid w:val="00B8266B"/>
    <w:rsid w:val="00B84C93"/>
    <w:rsid w:val="00B865B6"/>
    <w:rsid w:val="00B87431"/>
    <w:rsid w:val="00B93C48"/>
    <w:rsid w:val="00B9515C"/>
    <w:rsid w:val="00B95221"/>
    <w:rsid w:val="00BA163E"/>
    <w:rsid w:val="00BA2AE5"/>
    <w:rsid w:val="00BA2F9A"/>
    <w:rsid w:val="00BA554B"/>
    <w:rsid w:val="00BB0469"/>
    <w:rsid w:val="00BB0566"/>
    <w:rsid w:val="00BB267F"/>
    <w:rsid w:val="00BB298F"/>
    <w:rsid w:val="00BB4274"/>
    <w:rsid w:val="00BB46B2"/>
    <w:rsid w:val="00BB60E8"/>
    <w:rsid w:val="00BB6C92"/>
    <w:rsid w:val="00BC050E"/>
    <w:rsid w:val="00BC0B39"/>
    <w:rsid w:val="00BC0DE3"/>
    <w:rsid w:val="00BC6C94"/>
    <w:rsid w:val="00BC7383"/>
    <w:rsid w:val="00BD1A92"/>
    <w:rsid w:val="00BD1F37"/>
    <w:rsid w:val="00BD20B1"/>
    <w:rsid w:val="00BD590C"/>
    <w:rsid w:val="00BD6B35"/>
    <w:rsid w:val="00BD6CC5"/>
    <w:rsid w:val="00BE0819"/>
    <w:rsid w:val="00BE0CB2"/>
    <w:rsid w:val="00BE27C4"/>
    <w:rsid w:val="00BE29CE"/>
    <w:rsid w:val="00BE3795"/>
    <w:rsid w:val="00BE37A2"/>
    <w:rsid w:val="00BE3DC7"/>
    <w:rsid w:val="00BE49FE"/>
    <w:rsid w:val="00BE50AD"/>
    <w:rsid w:val="00BE5772"/>
    <w:rsid w:val="00BE586B"/>
    <w:rsid w:val="00BE5B62"/>
    <w:rsid w:val="00BE7AF2"/>
    <w:rsid w:val="00BF22CC"/>
    <w:rsid w:val="00BF36A6"/>
    <w:rsid w:val="00BF4ED0"/>
    <w:rsid w:val="00BF5770"/>
    <w:rsid w:val="00BF6FF9"/>
    <w:rsid w:val="00C003F3"/>
    <w:rsid w:val="00C00D03"/>
    <w:rsid w:val="00C0171D"/>
    <w:rsid w:val="00C03509"/>
    <w:rsid w:val="00C039A5"/>
    <w:rsid w:val="00C03B47"/>
    <w:rsid w:val="00C04130"/>
    <w:rsid w:val="00C066E9"/>
    <w:rsid w:val="00C11487"/>
    <w:rsid w:val="00C13504"/>
    <w:rsid w:val="00C17AEF"/>
    <w:rsid w:val="00C201C6"/>
    <w:rsid w:val="00C22734"/>
    <w:rsid w:val="00C229F6"/>
    <w:rsid w:val="00C240D1"/>
    <w:rsid w:val="00C2491C"/>
    <w:rsid w:val="00C25287"/>
    <w:rsid w:val="00C25EFB"/>
    <w:rsid w:val="00C26193"/>
    <w:rsid w:val="00C26A46"/>
    <w:rsid w:val="00C30B87"/>
    <w:rsid w:val="00C326FD"/>
    <w:rsid w:val="00C34F7C"/>
    <w:rsid w:val="00C3682B"/>
    <w:rsid w:val="00C423FF"/>
    <w:rsid w:val="00C42F33"/>
    <w:rsid w:val="00C444D9"/>
    <w:rsid w:val="00C45B73"/>
    <w:rsid w:val="00C46D8C"/>
    <w:rsid w:val="00C47041"/>
    <w:rsid w:val="00C507DA"/>
    <w:rsid w:val="00C552E3"/>
    <w:rsid w:val="00C5764E"/>
    <w:rsid w:val="00C64789"/>
    <w:rsid w:val="00C66371"/>
    <w:rsid w:val="00C66639"/>
    <w:rsid w:val="00C6756B"/>
    <w:rsid w:val="00C67F60"/>
    <w:rsid w:val="00C75F23"/>
    <w:rsid w:val="00C76879"/>
    <w:rsid w:val="00C770ED"/>
    <w:rsid w:val="00C77589"/>
    <w:rsid w:val="00C77F4E"/>
    <w:rsid w:val="00C800A3"/>
    <w:rsid w:val="00C8131E"/>
    <w:rsid w:val="00C82131"/>
    <w:rsid w:val="00C826B4"/>
    <w:rsid w:val="00C91128"/>
    <w:rsid w:val="00C92586"/>
    <w:rsid w:val="00C96414"/>
    <w:rsid w:val="00C96767"/>
    <w:rsid w:val="00C9680F"/>
    <w:rsid w:val="00C9697D"/>
    <w:rsid w:val="00C9767E"/>
    <w:rsid w:val="00CA0B6E"/>
    <w:rsid w:val="00CA356D"/>
    <w:rsid w:val="00CB03C4"/>
    <w:rsid w:val="00CB48C1"/>
    <w:rsid w:val="00CB6AAA"/>
    <w:rsid w:val="00CC186B"/>
    <w:rsid w:val="00CC20B9"/>
    <w:rsid w:val="00CC3D86"/>
    <w:rsid w:val="00CC5961"/>
    <w:rsid w:val="00CC70FA"/>
    <w:rsid w:val="00CD059A"/>
    <w:rsid w:val="00CD3020"/>
    <w:rsid w:val="00CD319E"/>
    <w:rsid w:val="00CD37C1"/>
    <w:rsid w:val="00CD393A"/>
    <w:rsid w:val="00CD5023"/>
    <w:rsid w:val="00CD56A8"/>
    <w:rsid w:val="00CD5A49"/>
    <w:rsid w:val="00CD5B84"/>
    <w:rsid w:val="00CD7ACC"/>
    <w:rsid w:val="00CE0924"/>
    <w:rsid w:val="00CE300A"/>
    <w:rsid w:val="00CE43C3"/>
    <w:rsid w:val="00CE6237"/>
    <w:rsid w:val="00CE6534"/>
    <w:rsid w:val="00CF1DBD"/>
    <w:rsid w:val="00CF454A"/>
    <w:rsid w:val="00CF69B9"/>
    <w:rsid w:val="00D03B29"/>
    <w:rsid w:val="00D03D35"/>
    <w:rsid w:val="00D04638"/>
    <w:rsid w:val="00D046E7"/>
    <w:rsid w:val="00D05A8D"/>
    <w:rsid w:val="00D06056"/>
    <w:rsid w:val="00D06C05"/>
    <w:rsid w:val="00D06F3F"/>
    <w:rsid w:val="00D10CF0"/>
    <w:rsid w:val="00D11059"/>
    <w:rsid w:val="00D1164E"/>
    <w:rsid w:val="00D12CF0"/>
    <w:rsid w:val="00D14411"/>
    <w:rsid w:val="00D15028"/>
    <w:rsid w:val="00D17186"/>
    <w:rsid w:val="00D2133F"/>
    <w:rsid w:val="00D23AAB"/>
    <w:rsid w:val="00D252B1"/>
    <w:rsid w:val="00D333C0"/>
    <w:rsid w:val="00D33417"/>
    <w:rsid w:val="00D3358C"/>
    <w:rsid w:val="00D34DA9"/>
    <w:rsid w:val="00D34F66"/>
    <w:rsid w:val="00D35630"/>
    <w:rsid w:val="00D36418"/>
    <w:rsid w:val="00D36ACA"/>
    <w:rsid w:val="00D40602"/>
    <w:rsid w:val="00D46137"/>
    <w:rsid w:val="00D51CD7"/>
    <w:rsid w:val="00D52030"/>
    <w:rsid w:val="00D52529"/>
    <w:rsid w:val="00D5256A"/>
    <w:rsid w:val="00D536EB"/>
    <w:rsid w:val="00D5393D"/>
    <w:rsid w:val="00D54B37"/>
    <w:rsid w:val="00D557F6"/>
    <w:rsid w:val="00D62DA6"/>
    <w:rsid w:val="00D63D15"/>
    <w:rsid w:val="00D6534C"/>
    <w:rsid w:val="00D66FAC"/>
    <w:rsid w:val="00D67C34"/>
    <w:rsid w:val="00D71D88"/>
    <w:rsid w:val="00D73574"/>
    <w:rsid w:val="00D73AAB"/>
    <w:rsid w:val="00D7406A"/>
    <w:rsid w:val="00D751F7"/>
    <w:rsid w:val="00D7729F"/>
    <w:rsid w:val="00D779B0"/>
    <w:rsid w:val="00D800E4"/>
    <w:rsid w:val="00D8110B"/>
    <w:rsid w:val="00D8139C"/>
    <w:rsid w:val="00D82470"/>
    <w:rsid w:val="00D82839"/>
    <w:rsid w:val="00D855DC"/>
    <w:rsid w:val="00D87328"/>
    <w:rsid w:val="00D91E9F"/>
    <w:rsid w:val="00D93BD0"/>
    <w:rsid w:val="00D94E3C"/>
    <w:rsid w:val="00D9757B"/>
    <w:rsid w:val="00DA2336"/>
    <w:rsid w:val="00DA51C8"/>
    <w:rsid w:val="00DA6162"/>
    <w:rsid w:val="00DB277F"/>
    <w:rsid w:val="00DB2EE5"/>
    <w:rsid w:val="00DB39C0"/>
    <w:rsid w:val="00DB40DA"/>
    <w:rsid w:val="00DB47E3"/>
    <w:rsid w:val="00DB4847"/>
    <w:rsid w:val="00DB498A"/>
    <w:rsid w:val="00DB4C4F"/>
    <w:rsid w:val="00DB6144"/>
    <w:rsid w:val="00DB6B18"/>
    <w:rsid w:val="00DB7681"/>
    <w:rsid w:val="00DB7DED"/>
    <w:rsid w:val="00DC1417"/>
    <w:rsid w:val="00DC4605"/>
    <w:rsid w:val="00DC5FF9"/>
    <w:rsid w:val="00DD052D"/>
    <w:rsid w:val="00DD2FFB"/>
    <w:rsid w:val="00DD3A80"/>
    <w:rsid w:val="00DD406D"/>
    <w:rsid w:val="00DD444C"/>
    <w:rsid w:val="00DD7E60"/>
    <w:rsid w:val="00DD7F9C"/>
    <w:rsid w:val="00DE3C2E"/>
    <w:rsid w:val="00DE49AC"/>
    <w:rsid w:val="00DE5100"/>
    <w:rsid w:val="00DE551D"/>
    <w:rsid w:val="00DE6AF5"/>
    <w:rsid w:val="00DF02A6"/>
    <w:rsid w:val="00DF10A0"/>
    <w:rsid w:val="00DF2278"/>
    <w:rsid w:val="00DF35E6"/>
    <w:rsid w:val="00DF45AC"/>
    <w:rsid w:val="00DF580C"/>
    <w:rsid w:val="00DF5E8E"/>
    <w:rsid w:val="00DF6A41"/>
    <w:rsid w:val="00DF76D1"/>
    <w:rsid w:val="00E00970"/>
    <w:rsid w:val="00E01DDA"/>
    <w:rsid w:val="00E02674"/>
    <w:rsid w:val="00E05113"/>
    <w:rsid w:val="00E05668"/>
    <w:rsid w:val="00E05E78"/>
    <w:rsid w:val="00E05EAF"/>
    <w:rsid w:val="00E11868"/>
    <w:rsid w:val="00E1317A"/>
    <w:rsid w:val="00E16D8F"/>
    <w:rsid w:val="00E1790D"/>
    <w:rsid w:val="00E22036"/>
    <w:rsid w:val="00E22E41"/>
    <w:rsid w:val="00E245C1"/>
    <w:rsid w:val="00E2536D"/>
    <w:rsid w:val="00E26669"/>
    <w:rsid w:val="00E32336"/>
    <w:rsid w:val="00E3482D"/>
    <w:rsid w:val="00E45987"/>
    <w:rsid w:val="00E45E3A"/>
    <w:rsid w:val="00E46A43"/>
    <w:rsid w:val="00E50F48"/>
    <w:rsid w:val="00E5124E"/>
    <w:rsid w:val="00E546EF"/>
    <w:rsid w:val="00E57C28"/>
    <w:rsid w:val="00E618AD"/>
    <w:rsid w:val="00E630FC"/>
    <w:rsid w:val="00E63110"/>
    <w:rsid w:val="00E635BE"/>
    <w:rsid w:val="00E66DE0"/>
    <w:rsid w:val="00E70D60"/>
    <w:rsid w:val="00E750F1"/>
    <w:rsid w:val="00E75E12"/>
    <w:rsid w:val="00E76AC2"/>
    <w:rsid w:val="00E80370"/>
    <w:rsid w:val="00E8083E"/>
    <w:rsid w:val="00E8263D"/>
    <w:rsid w:val="00E84226"/>
    <w:rsid w:val="00E848AF"/>
    <w:rsid w:val="00E84BF1"/>
    <w:rsid w:val="00E85257"/>
    <w:rsid w:val="00E87C7C"/>
    <w:rsid w:val="00E90E32"/>
    <w:rsid w:val="00E91E03"/>
    <w:rsid w:val="00E923B0"/>
    <w:rsid w:val="00E925C9"/>
    <w:rsid w:val="00E92604"/>
    <w:rsid w:val="00E92B7F"/>
    <w:rsid w:val="00E92FAB"/>
    <w:rsid w:val="00E942B9"/>
    <w:rsid w:val="00E95F53"/>
    <w:rsid w:val="00EA08E6"/>
    <w:rsid w:val="00EA276D"/>
    <w:rsid w:val="00EA298F"/>
    <w:rsid w:val="00EA2C22"/>
    <w:rsid w:val="00EA3481"/>
    <w:rsid w:val="00EA48A1"/>
    <w:rsid w:val="00EA4FF8"/>
    <w:rsid w:val="00EA5E2C"/>
    <w:rsid w:val="00EA692E"/>
    <w:rsid w:val="00EA6F3E"/>
    <w:rsid w:val="00EA728E"/>
    <w:rsid w:val="00EB1E54"/>
    <w:rsid w:val="00EB21AB"/>
    <w:rsid w:val="00EB28B2"/>
    <w:rsid w:val="00EB3C99"/>
    <w:rsid w:val="00EB5B73"/>
    <w:rsid w:val="00EC16B9"/>
    <w:rsid w:val="00EC3EB9"/>
    <w:rsid w:val="00EC472D"/>
    <w:rsid w:val="00ED209B"/>
    <w:rsid w:val="00ED2B32"/>
    <w:rsid w:val="00ED2BCB"/>
    <w:rsid w:val="00ED3440"/>
    <w:rsid w:val="00ED52AA"/>
    <w:rsid w:val="00EE1200"/>
    <w:rsid w:val="00EE5700"/>
    <w:rsid w:val="00EF0726"/>
    <w:rsid w:val="00EF103E"/>
    <w:rsid w:val="00EF1385"/>
    <w:rsid w:val="00EF33D6"/>
    <w:rsid w:val="00EF54A2"/>
    <w:rsid w:val="00EF69A2"/>
    <w:rsid w:val="00EF6EB6"/>
    <w:rsid w:val="00F02ED7"/>
    <w:rsid w:val="00F05E3C"/>
    <w:rsid w:val="00F07553"/>
    <w:rsid w:val="00F07DDB"/>
    <w:rsid w:val="00F10870"/>
    <w:rsid w:val="00F108F3"/>
    <w:rsid w:val="00F12482"/>
    <w:rsid w:val="00F13719"/>
    <w:rsid w:val="00F164F4"/>
    <w:rsid w:val="00F20988"/>
    <w:rsid w:val="00F21FC1"/>
    <w:rsid w:val="00F22652"/>
    <w:rsid w:val="00F2277E"/>
    <w:rsid w:val="00F2369C"/>
    <w:rsid w:val="00F26AF3"/>
    <w:rsid w:val="00F30770"/>
    <w:rsid w:val="00F30EBD"/>
    <w:rsid w:val="00F3375A"/>
    <w:rsid w:val="00F3663F"/>
    <w:rsid w:val="00F36F66"/>
    <w:rsid w:val="00F4283A"/>
    <w:rsid w:val="00F42FBD"/>
    <w:rsid w:val="00F43CAE"/>
    <w:rsid w:val="00F44D9E"/>
    <w:rsid w:val="00F47F3B"/>
    <w:rsid w:val="00F53778"/>
    <w:rsid w:val="00F5447E"/>
    <w:rsid w:val="00F54861"/>
    <w:rsid w:val="00F56D8C"/>
    <w:rsid w:val="00F605F4"/>
    <w:rsid w:val="00F609F3"/>
    <w:rsid w:val="00F60CDC"/>
    <w:rsid w:val="00F61EC9"/>
    <w:rsid w:val="00F64EA1"/>
    <w:rsid w:val="00F67325"/>
    <w:rsid w:val="00F67DD5"/>
    <w:rsid w:val="00F72983"/>
    <w:rsid w:val="00F753E8"/>
    <w:rsid w:val="00F76719"/>
    <w:rsid w:val="00F769D1"/>
    <w:rsid w:val="00F76B7A"/>
    <w:rsid w:val="00F93052"/>
    <w:rsid w:val="00F97306"/>
    <w:rsid w:val="00FA257C"/>
    <w:rsid w:val="00FA6064"/>
    <w:rsid w:val="00FA614C"/>
    <w:rsid w:val="00FA6DE3"/>
    <w:rsid w:val="00FB06BB"/>
    <w:rsid w:val="00FB1583"/>
    <w:rsid w:val="00FC1DF9"/>
    <w:rsid w:val="00FC2361"/>
    <w:rsid w:val="00FC3353"/>
    <w:rsid w:val="00FC518E"/>
    <w:rsid w:val="00FC6E3A"/>
    <w:rsid w:val="00FD086C"/>
    <w:rsid w:val="00FD1787"/>
    <w:rsid w:val="00FD2457"/>
    <w:rsid w:val="00FD530F"/>
    <w:rsid w:val="00FD559C"/>
    <w:rsid w:val="00FD648E"/>
    <w:rsid w:val="00FD695F"/>
    <w:rsid w:val="00FD6EDF"/>
    <w:rsid w:val="00FE096A"/>
    <w:rsid w:val="00FE1DAD"/>
    <w:rsid w:val="00FE29FF"/>
    <w:rsid w:val="00FE2BE9"/>
    <w:rsid w:val="00FE5CE1"/>
    <w:rsid w:val="00FF09D0"/>
    <w:rsid w:val="00FF0D68"/>
    <w:rsid w:val="00FF1DCD"/>
    <w:rsid w:val="00FF2734"/>
    <w:rsid w:val="00FF42B7"/>
    <w:rsid w:val="00FF5E4A"/>
    <w:rsid w:val="00FF6282"/>
    <w:rsid w:val="00FF6B9C"/>
    <w:rsid w:val="00FF7817"/>
    <w:rsid w:val="01174ECE"/>
    <w:rsid w:val="01490CD5"/>
    <w:rsid w:val="017936BE"/>
    <w:rsid w:val="01BA1846"/>
    <w:rsid w:val="022B352E"/>
    <w:rsid w:val="02C426D1"/>
    <w:rsid w:val="02C62D99"/>
    <w:rsid w:val="031713E0"/>
    <w:rsid w:val="03535B3A"/>
    <w:rsid w:val="03A569EC"/>
    <w:rsid w:val="040643EF"/>
    <w:rsid w:val="059B1E55"/>
    <w:rsid w:val="05D24713"/>
    <w:rsid w:val="05EA40D8"/>
    <w:rsid w:val="06420522"/>
    <w:rsid w:val="07047ECE"/>
    <w:rsid w:val="071C143A"/>
    <w:rsid w:val="074F1149"/>
    <w:rsid w:val="07615CC0"/>
    <w:rsid w:val="07702E6D"/>
    <w:rsid w:val="077614EF"/>
    <w:rsid w:val="079E3E7E"/>
    <w:rsid w:val="07B70A9C"/>
    <w:rsid w:val="07C35693"/>
    <w:rsid w:val="07F4584C"/>
    <w:rsid w:val="0891753F"/>
    <w:rsid w:val="098403FE"/>
    <w:rsid w:val="09AF4121"/>
    <w:rsid w:val="09D65B51"/>
    <w:rsid w:val="09DE0562"/>
    <w:rsid w:val="09E0077E"/>
    <w:rsid w:val="0A86453B"/>
    <w:rsid w:val="0A9F3879"/>
    <w:rsid w:val="0AB7115E"/>
    <w:rsid w:val="0AC227FD"/>
    <w:rsid w:val="0B2E5519"/>
    <w:rsid w:val="0B907F82"/>
    <w:rsid w:val="0BF3436E"/>
    <w:rsid w:val="0C160E49"/>
    <w:rsid w:val="0C161D37"/>
    <w:rsid w:val="0C4B5C57"/>
    <w:rsid w:val="0CF84031"/>
    <w:rsid w:val="0CF87B8D"/>
    <w:rsid w:val="0D7C07BE"/>
    <w:rsid w:val="0D9D0734"/>
    <w:rsid w:val="0DD7425F"/>
    <w:rsid w:val="0E121122"/>
    <w:rsid w:val="0E2C21E4"/>
    <w:rsid w:val="0E505D69"/>
    <w:rsid w:val="0EBE0962"/>
    <w:rsid w:val="0EC87A33"/>
    <w:rsid w:val="0F4470B9"/>
    <w:rsid w:val="0F503CB0"/>
    <w:rsid w:val="0F952C58"/>
    <w:rsid w:val="0FF6094D"/>
    <w:rsid w:val="101E5B5C"/>
    <w:rsid w:val="10305890"/>
    <w:rsid w:val="108F55A8"/>
    <w:rsid w:val="10A83092"/>
    <w:rsid w:val="11401740"/>
    <w:rsid w:val="116314B9"/>
    <w:rsid w:val="116A6B7F"/>
    <w:rsid w:val="11EB4164"/>
    <w:rsid w:val="11EC3A38"/>
    <w:rsid w:val="11EE77B0"/>
    <w:rsid w:val="124E5458"/>
    <w:rsid w:val="13313C37"/>
    <w:rsid w:val="13651CF4"/>
    <w:rsid w:val="136C4E31"/>
    <w:rsid w:val="13BA5B9C"/>
    <w:rsid w:val="13F37CD4"/>
    <w:rsid w:val="14C52A4A"/>
    <w:rsid w:val="14D42C8D"/>
    <w:rsid w:val="14DB226E"/>
    <w:rsid w:val="14EB7FD7"/>
    <w:rsid w:val="15D32F45"/>
    <w:rsid w:val="16361726"/>
    <w:rsid w:val="16560A20"/>
    <w:rsid w:val="16F74B8C"/>
    <w:rsid w:val="170844DE"/>
    <w:rsid w:val="172C5003"/>
    <w:rsid w:val="17434F0E"/>
    <w:rsid w:val="17465999"/>
    <w:rsid w:val="175305DC"/>
    <w:rsid w:val="179100AB"/>
    <w:rsid w:val="17D420E7"/>
    <w:rsid w:val="180C06B1"/>
    <w:rsid w:val="18295846"/>
    <w:rsid w:val="18746702"/>
    <w:rsid w:val="189D5A8C"/>
    <w:rsid w:val="193E2DCB"/>
    <w:rsid w:val="196178B0"/>
    <w:rsid w:val="1A2E08D7"/>
    <w:rsid w:val="1A637E8D"/>
    <w:rsid w:val="1A69031C"/>
    <w:rsid w:val="1A916CD3"/>
    <w:rsid w:val="1A9B5FFB"/>
    <w:rsid w:val="1B2E0C1E"/>
    <w:rsid w:val="1B3501FE"/>
    <w:rsid w:val="1BD54DB6"/>
    <w:rsid w:val="1C7B60E4"/>
    <w:rsid w:val="1CAC10B2"/>
    <w:rsid w:val="1CAE1657"/>
    <w:rsid w:val="1CBF4223"/>
    <w:rsid w:val="1CE04199"/>
    <w:rsid w:val="1D272240"/>
    <w:rsid w:val="1D985471"/>
    <w:rsid w:val="1E036392"/>
    <w:rsid w:val="1ED97FFE"/>
    <w:rsid w:val="1EE61E60"/>
    <w:rsid w:val="20DC139A"/>
    <w:rsid w:val="20E029BA"/>
    <w:rsid w:val="21052421"/>
    <w:rsid w:val="210B3EDB"/>
    <w:rsid w:val="2118076E"/>
    <w:rsid w:val="212C5BFF"/>
    <w:rsid w:val="21521E4A"/>
    <w:rsid w:val="21976550"/>
    <w:rsid w:val="21AE39CF"/>
    <w:rsid w:val="220D77DF"/>
    <w:rsid w:val="224156DA"/>
    <w:rsid w:val="225E1C28"/>
    <w:rsid w:val="22664EDF"/>
    <w:rsid w:val="228405B7"/>
    <w:rsid w:val="22C96CC1"/>
    <w:rsid w:val="230706D2"/>
    <w:rsid w:val="23375968"/>
    <w:rsid w:val="23CB16FF"/>
    <w:rsid w:val="242B301A"/>
    <w:rsid w:val="244119C2"/>
    <w:rsid w:val="24885842"/>
    <w:rsid w:val="25662884"/>
    <w:rsid w:val="25F30BE6"/>
    <w:rsid w:val="25FC0296"/>
    <w:rsid w:val="267047E0"/>
    <w:rsid w:val="2670658E"/>
    <w:rsid w:val="26A61FB0"/>
    <w:rsid w:val="27321A96"/>
    <w:rsid w:val="278504E5"/>
    <w:rsid w:val="27B82DC9"/>
    <w:rsid w:val="27C3780D"/>
    <w:rsid w:val="27D330A9"/>
    <w:rsid w:val="27EB2370"/>
    <w:rsid w:val="280A0C19"/>
    <w:rsid w:val="284D6B87"/>
    <w:rsid w:val="28DA4193"/>
    <w:rsid w:val="290B259E"/>
    <w:rsid w:val="297D58D9"/>
    <w:rsid w:val="29D97667"/>
    <w:rsid w:val="2ABC7FF4"/>
    <w:rsid w:val="2B113431"/>
    <w:rsid w:val="2B8A5F17"/>
    <w:rsid w:val="2C106849"/>
    <w:rsid w:val="2C5A3F68"/>
    <w:rsid w:val="2C8903AA"/>
    <w:rsid w:val="2CE70673"/>
    <w:rsid w:val="2D2F71A3"/>
    <w:rsid w:val="2DDB69E3"/>
    <w:rsid w:val="2E0917A2"/>
    <w:rsid w:val="2EAB0AAB"/>
    <w:rsid w:val="2F190AEC"/>
    <w:rsid w:val="2F1C3757"/>
    <w:rsid w:val="2F334F13"/>
    <w:rsid w:val="2F3B5054"/>
    <w:rsid w:val="2F3E191F"/>
    <w:rsid w:val="2F3F11F4"/>
    <w:rsid w:val="2F48361F"/>
    <w:rsid w:val="2F503B9B"/>
    <w:rsid w:val="2FC242FE"/>
    <w:rsid w:val="2FCE1589"/>
    <w:rsid w:val="30BC59A2"/>
    <w:rsid w:val="3106032D"/>
    <w:rsid w:val="31295CB7"/>
    <w:rsid w:val="317F3B29"/>
    <w:rsid w:val="323E27E2"/>
    <w:rsid w:val="326027B7"/>
    <w:rsid w:val="327754EF"/>
    <w:rsid w:val="32933EE4"/>
    <w:rsid w:val="32DB6F02"/>
    <w:rsid w:val="32F12805"/>
    <w:rsid w:val="333770F5"/>
    <w:rsid w:val="33550FE6"/>
    <w:rsid w:val="33865643"/>
    <w:rsid w:val="34925C97"/>
    <w:rsid w:val="35843E04"/>
    <w:rsid w:val="359C73A0"/>
    <w:rsid w:val="35BD41DA"/>
    <w:rsid w:val="35F74D51"/>
    <w:rsid w:val="36063A32"/>
    <w:rsid w:val="365437D6"/>
    <w:rsid w:val="36B97ADD"/>
    <w:rsid w:val="36C97D20"/>
    <w:rsid w:val="386E4E5E"/>
    <w:rsid w:val="38807556"/>
    <w:rsid w:val="388D4D7E"/>
    <w:rsid w:val="390B0AC4"/>
    <w:rsid w:val="391858B6"/>
    <w:rsid w:val="39736669"/>
    <w:rsid w:val="39AE3262"/>
    <w:rsid w:val="3A7B69AA"/>
    <w:rsid w:val="3A977E93"/>
    <w:rsid w:val="3AD42BFF"/>
    <w:rsid w:val="3B0F4170"/>
    <w:rsid w:val="3B1B2B15"/>
    <w:rsid w:val="3B4007CD"/>
    <w:rsid w:val="3B81506E"/>
    <w:rsid w:val="3BE86E9B"/>
    <w:rsid w:val="3CD50952"/>
    <w:rsid w:val="3DB8289D"/>
    <w:rsid w:val="3E444130"/>
    <w:rsid w:val="3E4740A9"/>
    <w:rsid w:val="3EC3774B"/>
    <w:rsid w:val="3EE35DA5"/>
    <w:rsid w:val="3FDE0A94"/>
    <w:rsid w:val="4045485F"/>
    <w:rsid w:val="40C41559"/>
    <w:rsid w:val="4134397F"/>
    <w:rsid w:val="4185518C"/>
    <w:rsid w:val="41C1291D"/>
    <w:rsid w:val="41D74F09"/>
    <w:rsid w:val="422A38E4"/>
    <w:rsid w:val="422E12FC"/>
    <w:rsid w:val="425E5AE9"/>
    <w:rsid w:val="42BF46CD"/>
    <w:rsid w:val="4302019D"/>
    <w:rsid w:val="430D3639"/>
    <w:rsid w:val="4407632C"/>
    <w:rsid w:val="44194C44"/>
    <w:rsid w:val="44E64193"/>
    <w:rsid w:val="44F77F05"/>
    <w:rsid w:val="45240818"/>
    <w:rsid w:val="453018B3"/>
    <w:rsid w:val="459F5CA0"/>
    <w:rsid w:val="460A3EB2"/>
    <w:rsid w:val="460E21EB"/>
    <w:rsid w:val="461F5C2F"/>
    <w:rsid w:val="46237979"/>
    <w:rsid w:val="46E71F62"/>
    <w:rsid w:val="472440EE"/>
    <w:rsid w:val="473C3E78"/>
    <w:rsid w:val="48050DD4"/>
    <w:rsid w:val="4805295C"/>
    <w:rsid w:val="484E555F"/>
    <w:rsid w:val="48D3318F"/>
    <w:rsid w:val="4968786D"/>
    <w:rsid w:val="49933B83"/>
    <w:rsid w:val="4ACF7478"/>
    <w:rsid w:val="4AEF3676"/>
    <w:rsid w:val="4B895806"/>
    <w:rsid w:val="4B9D30D2"/>
    <w:rsid w:val="4C0131C0"/>
    <w:rsid w:val="4C6622D8"/>
    <w:rsid w:val="4C68275E"/>
    <w:rsid w:val="4C6A7458"/>
    <w:rsid w:val="4CD46665"/>
    <w:rsid w:val="4D227280"/>
    <w:rsid w:val="4D257B33"/>
    <w:rsid w:val="4D970721"/>
    <w:rsid w:val="4DB506B5"/>
    <w:rsid w:val="4DDB2F6F"/>
    <w:rsid w:val="4E4A5793"/>
    <w:rsid w:val="4EB270FD"/>
    <w:rsid w:val="4F115587"/>
    <w:rsid w:val="4F6E5963"/>
    <w:rsid w:val="4F74239C"/>
    <w:rsid w:val="4F90367A"/>
    <w:rsid w:val="51E43809"/>
    <w:rsid w:val="523F6E00"/>
    <w:rsid w:val="528A2602"/>
    <w:rsid w:val="52BA27BB"/>
    <w:rsid w:val="535E75EB"/>
    <w:rsid w:val="53620E89"/>
    <w:rsid w:val="542425E2"/>
    <w:rsid w:val="54300F87"/>
    <w:rsid w:val="545C3B2A"/>
    <w:rsid w:val="54B90F7D"/>
    <w:rsid w:val="54FE72D7"/>
    <w:rsid w:val="55014B1F"/>
    <w:rsid w:val="5536079B"/>
    <w:rsid w:val="5563538C"/>
    <w:rsid w:val="55CB39DB"/>
    <w:rsid w:val="55D02A22"/>
    <w:rsid w:val="55D15107"/>
    <w:rsid w:val="56293FE0"/>
    <w:rsid w:val="565D3B8A"/>
    <w:rsid w:val="5672083E"/>
    <w:rsid w:val="56CF0F2B"/>
    <w:rsid w:val="574014E1"/>
    <w:rsid w:val="57631674"/>
    <w:rsid w:val="57633422"/>
    <w:rsid w:val="584229C3"/>
    <w:rsid w:val="589B2B77"/>
    <w:rsid w:val="58F307D5"/>
    <w:rsid w:val="590F3861"/>
    <w:rsid w:val="5952374E"/>
    <w:rsid w:val="5959642C"/>
    <w:rsid w:val="59943D66"/>
    <w:rsid w:val="59A463F5"/>
    <w:rsid w:val="59AF294E"/>
    <w:rsid w:val="5A0134CB"/>
    <w:rsid w:val="5A1629CD"/>
    <w:rsid w:val="5A382944"/>
    <w:rsid w:val="5A854500"/>
    <w:rsid w:val="5B1C2265"/>
    <w:rsid w:val="5B461090"/>
    <w:rsid w:val="5B5639C9"/>
    <w:rsid w:val="5C4E28F2"/>
    <w:rsid w:val="5C952402"/>
    <w:rsid w:val="5CC97B99"/>
    <w:rsid w:val="5D99194B"/>
    <w:rsid w:val="5E40730D"/>
    <w:rsid w:val="5F1F0576"/>
    <w:rsid w:val="5F81073D"/>
    <w:rsid w:val="5FA97E40"/>
    <w:rsid w:val="60BC388B"/>
    <w:rsid w:val="619A2136"/>
    <w:rsid w:val="61B825BC"/>
    <w:rsid w:val="61EA6C19"/>
    <w:rsid w:val="61F731D9"/>
    <w:rsid w:val="620A6029"/>
    <w:rsid w:val="624502F4"/>
    <w:rsid w:val="624F2F20"/>
    <w:rsid w:val="62600C89"/>
    <w:rsid w:val="626B762E"/>
    <w:rsid w:val="62BB2364"/>
    <w:rsid w:val="62CD163A"/>
    <w:rsid w:val="62DB0C58"/>
    <w:rsid w:val="630F445E"/>
    <w:rsid w:val="63431C7A"/>
    <w:rsid w:val="63AE3C76"/>
    <w:rsid w:val="63E21E6C"/>
    <w:rsid w:val="64485E79"/>
    <w:rsid w:val="64F14763"/>
    <w:rsid w:val="65705687"/>
    <w:rsid w:val="66903DD3"/>
    <w:rsid w:val="6727621A"/>
    <w:rsid w:val="67376C31"/>
    <w:rsid w:val="67A3108A"/>
    <w:rsid w:val="680476BF"/>
    <w:rsid w:val="683B73BA"/>
    <w:rsid w:val="6874548F"/>
    <w:rsid w:val="68B910F3"/>
    <w:rsid w:val="68CB7079"/>
    <w:rsid w:val="68E00D76"/>
    <w:rsid w:val="68F95994"/>
    <w:rsid w:val="69AC50F8"/>
    <w:rsid w:val="69EC374B"/>
    <w:rsid w:val="6A6B0B13"/>
    <w:rsid w:val="6AAF4681"/>
    <w:rsid w:val="6AF82EED"/>
    <w:rsid w:val="6B2C02A3"/>
    <w:rsid w:val="6B3410B7"/>
    <w:rsid w:val="6B451364"/>
    <w:rsid w:val="6B68305E"/>
    <w:rsid w:val="6B852675"/>
    <w:rsid w:val="6B9A0018"/>
    <w:rsid w:val="6BBB33D4"/>
    <w:rsid w:val="6C4258A4"/>
    <w:rsid w:val="6C4B4758"/>
    <w:rsid w:val="6C935258"/>
    <w:rsid w:val="6CBF5F34"/>
    <w:rsid w:val="6CDE4B67"/>
    <w:rsid w:val="6CFD6CF2"/>
    <w:rsid w:val="6D421260"/>
    <w:rsid w:val="6D6B3953"/>
    <w:rsid w:val="6D793547"/>
    <w:rsid w:val="6DCE5641"/>
    <w:rsid w:val="6E6C250F"/>
    <w:rsid w:val="6F3C3998"/>
    <w:rsid w:val="6FC43175"/>
    <w:rsid w:val="6FCC3E02"/>
    <w:rsid w:val="70433998"/>
    <w:rsid w:val="713D6842"/>
    <w:rsid w:val="71724535"/>
    <w:rsid w:val="717604C9"/>
    <w:rsid w:val="71E96CF5"/>
    <w:rsid w:val="72284182"/>
    <w:rsid w:val="72B017B9"/>
    <w:rsid w:val="72D80D10"/>
    <w:rsid w:val="72F773E8"/>
    <w:rsid w:val="73BA0B1B"/>
    <w:rsid w:val="7476258E"/>
    <w:rsid w:val="748051BB"/>
    <w:rsid w:val="74D177C5"/>
    <w:rsid w:val="75093403"/>
    <w:rsid w:val="75437428"/>
    <w:rsid w:val="75E21518"/>
    <w:rsid w:val="76A07D97"/>
    <w:rsid w:val="76A30E30"/>
    <w:rsid w:val="76B13D52"/>
    <w:rsid w:val="76F36118"/>
    <w:rsid w:val="77477AB7"/>
    <w:rsid w:val="77704880"/>
    <w:rsid w:val="77F84333"/>
    <w:rsid w:val="780B56E4"/>
    <w:rsid w:val="7872306D"/>
    <w:rsid w:val="78801C2E"/>
    <w:rsid w:val="78847AC6"/>
    <w:rsid w:val="789A2B6A"/>
    <w:rsid w:val="78ED6FF4"/>
    <w:rsid w:val="79195B1F"/>
    <w:rsid w:val="79382508"/>
    <w:rsid w:val="79585EBD"/>
    <w:rsid w:val="79751067"/>
    <w:rsid w:val="79797C27"/>
    <w:rsid w:val="798B16F8"/>
    <w:rsid w:val="79B31B8F"/>
    <w:rsid w:val="7A13262E"/>
    <w:rsid w:val="7AC83D3B"/>
    <w:rsid w:val="7AD4000F"/>
    <w:rsid w:val="7B6E3FBF"/>
    <w:rsid w:val="7BE16542"/>
    <w:rsid w:val="7BE63457"/>
    <w:rsid w:val="7C4D666C"/>
    <w:rsid w:val="7C5A1BD1"/>
    <w:rsid w:val="7C8141C6"/>
    <w:rsid w:val="7C9C75D1"/>
    <w:rsid w:val="7CC035FF"/>
    <w:rsid w:val="7CF404F4"/>
    <w:rsid w:val="7D0F595A"/>
    <w:rsid w:val="7D590D1B"/>
    <w:rsid w:val="7D766118"/>
    <w:rsid w:val="7DF0025B"/>
    <w:rsid w:val="7E2C2256"/>
    <w:rsid w:val="7E4C610E"/>
    <w:rsid w:val="7EED1876"/>
    <w:rsid w:val="7F71531F"/>
    <w:rsid w:val="7FCB56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semiHidden="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qFormat="1" w:unhideWhenUsed="0" w:uiPriority="0" w:semiHidden="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6"/>
    <w:qFormat/>
    <w:uiPriority w:val="0"/>
    <w:pPr>
      <w:spacing w:line="520" w:lineRule="exact"/>
      <w:ind w:firstLine="643"/>
      <w:outlineLvl w:val="0"/>
    </w:pPr>
    <w:rPr>
      <w:rFonts w:ascii="黑体" w:hAnsi="黑体" w:eastAsia="黑体" w:cs="宋体"/>
      <w:b/>
      <w:bCs/>
      <w:kern w:val="0"/>
      <w:sz w:val="32"/>
      <w:szCs w:val="32"/>
    </w:rPr>
  </w:style>
  <w:style w:type="paragraph" w:styleId="3">
    <w:name w:val="heading 2"/>
    <w:basedOn w:val="1"/>
    <w:next w:val="1"/>
    <w:link w:val="27"/>
    <w:unhideWhenUsed/>
    <w:qFormat/>
    <w:uiPriority w:val="0"/>
    <w:pPr>
      <w:numPr>
        <w:ilvl w:val="0"/>
        <w:numId w:val="1"/>
      </w:numPr>
      <w:spacing w:line="360" w:lineRule="auto"/>
      <w:ind w:firstLineChars="0"/>
      <w:outlineLvl w:val="1"/>
    </w:pPr>
    <w:rPr>
      <w:rFonts w:ascii="楷体" w:hAnsi="楷体" w:eastAsia="楷体" w:cs="楷体"/>
      <w:b/>
      <w:bCs/>
      <w:kern w:val="0"/>
      <w:sz w:val="32"/>
      <w:szCs w:val="32"/>
    </w:rPr>
  </w:style>
  <w:style w:type="paragraph" w:styleId="4">
    <w:name w:val="heading 3"/>
    <w:basedOn w:val="1"/>
    <w:next w:val="1"/>
    <w:link w:val="29"/>
    <w:unhideWhenUsed/>
    <w:qFormat/>
    <w:uiPriority w:val="0"/>
    <w:pPr>
      <w:numPr>
        <w:ilvl w:val="0"/>
        <w:numId w:val="2"/>
      </w:numPr>
      <w:spacing w:line="360" w:lineRule="auto"/>
      <w:outlineLvl w:val="2"/>
    </w:pPr>
    <w:rPr>
      <w:rFonts w:ascii="仿宋_GB2312" w:hAnsi="仿宋_GB2312" w:eastAsia="仿宋_GB2312" w:cs="仿宋_GB2312"/>
      <w:b/>
      <w:bCs/>
      <w:kern w:val="0"/>
      <w:sz w:val="32"/>
      <w:szCs w:val="32"/>
    </w:rPr>
  </w:style>
  <w:style w:type="paragraph" w:styleId="5">
    <w:name w:val="heading 4"/>
    <w:basedOn w:val="6"/>
    <w:next w:val="7"/>
    <w:link w:val="23"/>
    <w:unhideWhenUsed/>
    <w:qFormat/>
    <w:uiPriority w:val="0"/>
    <w:pPr>
      <w:numPr>
        <w:ilvl w:val="0"/>
        <w:numId w:val="3"/>
      </w:numPr>
      <w:spacing w:line="520" w:lineRule="exact"/>
      <w:outlineLvl w:val="3"/>
    </w:pPr>
    <w:rPr>
      <w:rFonts w:ascii="仿宋" w:hAnsi="仿宋" w:eastAsia="仿宋" w:cs="Times New Roman"/>
      <w:sz w:val="32"/>
      <w:szCs w:val="28"/>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customStyle="1" w:styleId="6">
    <w:name w:val="!N"/>
    <w:qFormat/>
    <w:uiPriority w:val="99"/>
    <w:rPr>
      <w:rFonts w:ascii="Times New Roman" w:hAnsi="Times New Roman" w:eastAsia="宋体" w:cstheme="minorBidi"/>
      <w:kern w:val="2"/>
      <w:sz w:val="21"/>
      <w:szCs w:val="21"/>
      <w:lang w:val="en-US" w:eastAsia="zh-CN" w:bidi="ar-SA"/>
    </w:rPr>
  </w:style>
  <w:style w:type="paragraph" w:customStyle="1" w:styleId="7">
    <w:name w:val="N21正文"/>
    <w:basedOn w:val="6"/>
    <w:qFormat/>
    <w:locked/>
    <w:uiPriority w:val="1"/>
    <w:pPr>
      <w:widowControl w:val="0"/>
      <w:adjustRightInd w:val="0"/>
      <w:snapToGrid w:val="0"/>
      <w:spacing w:before="30" w:beforeLines="30" w:after="30" w:afterLines="30" w:line="384" w:lineRule="auto"/>
      <w:ind w:firstLine="200" w:firstLineChars="200"/>
      <w:jc w:val="both"/>
    </w:pPr>
    <w:rPr>
      <w:rFonts w:cstheme="minorEastAsia"/>
      <w:sz w:val="24"/>
    </w:rPr>
  </w:style>
  <w:style w:type="paragraph" w:styleId="8">
    <w:name w:val="caption"/>
    <w:basedOn w:val="1"/>
    <w:next w:val="1"/>
    <w:unhideWhenUsed/>
    <w:qFormat/>
    <w:uiPriority w:val="0"/>
    <w:rPr>
      <w:rFonts w:eastAsia="黑体" w:asciiTheme="majorHAnsi" w:hAnsiTheme="majorHAnsi" w:cstheme="majorBidi"/>
      <w:sz w:val="20"/>
      <w:szCs w:val="20"/>
    </w:rPr>
  </w:style>
  <w:style w:type="paragraph" w:styleId="9">
    <w:name w:val="annotation text"/>
    <w:basedOn w:val="1"/>
    <w:link w:val="30"/>
    <w:unhideWhenUsed/>
    <w:qFormat/>
    <w:uiPriority w:val="0"/>
    <w:pPr>
      <w:jc w:val="left"/>
    </w:pPr>
  </w:style>
  <w:style w:type="paragraph" w:styleId="10">
    <w:name w:val="Body Text"/>
    <w:basedOn w:val="1"/>
    <w:next w:val="11"/>
    <w:qFormat/>
    <w:uiPriority w:val="0"/>
  </w:style>
  <w:style w:type="paragraph" w:styleId="11">
    <w:name w:val="Body Text 2"/>
    <w:basedOn w:val="1"/>
    <w:next w:val="10"/>
    <w:qFormat/>
    <w:uiPriority w:val="0"/>
    <w:pPr>
      <w:spacing w:after="120" w:line="480" w:lineRule="auto"/>
    </w:pPr>
  </w:style>
  <w:style w:type="paragraph" w:styleId="12">
    <w:name w:val="Balloon Text"/>
    <w:basedOn w:val="1"/>
    <w:link w:val="34"/>
    <w:semiHidden/>
    <w:unhideWhenUsed/>
    <w:qFormat/>
    <w:uiPriority w:val="0"/>
    <w:rPr>
      <w:sz w:val="18"/>
      <w:szCs w:val="18"/>
    </w:rPr>
  </w:style>
  <w:style w:type="paragraph" w:styleId="13">
    <w:name w:val="footer"/>
    <w:basedOn w:val="1"/>
    <w:link w:val="25"/>
    <w:qFormat/>
    <w:uiPriority w:val="99"/>
    <w:pPr>
      <w:tabs>
        <w:tab w:val="center" w:pos="4153"/>
        <w:tab w:val="right" w:pos="8306"/>
      </w:tabs>
      <w:snapToGrid w:val="0"/>
      <w:ind w:firstLine="0" w:firstLineChars="0"/>
      <w:jc w:val="center"/>
    </w:pPr>
    <w:rPr>
      <w:sz w:val="18"/>
      <w:szCs w:val="18"/>
    </w:rPr>
  </w:style>
  <w:style w:type="paragraph" w:styleId="14">
    <w:name w:val="header"/>
    <w:basedOn w:val="1"/>
    <w:link w:val="24"/>
    <w:qFormat/>
    <w:uiPriority w:val="0"/>
    <w:pPr>
      <w:pBdr>
        <w:bottom w:val="single" w:color="auto" w:sz="6" w:space="1"/>
      </w:pBdr>
      <w:tabs>
        <w:tab w:val="center" w:pos="4153"/>
        <w:tab w:val="right" w:pos="8306"/>
      </w:tabs>
      <w:snapToGrid w:val="0"/>
      <w:jc w:val="center"/>
    </w:pPr>
    <w:rPr>
      <w:sz w:val="18"/>
      <w:szCs w:val="18"/>
    </w:rPr>
  </w:style>
  <w:style w:type="paragraph" w:styleId="15">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paragraph" w:styleId="16">
    <w:name w:val="Title"/>
    <w:basedOn w:val="1"/>
    <w:next w:val="1"/>
    <w:link w:val="32"/>
    <w:qFormat/>
    <w:uiPriority w:val="10"/>
    <w:pPr>
      <w:spacing w:before="240" w:after="60"/>
      <w:jc w:val="center"/>
      <w:outlineLvl w:val="0"/>
    </w:pPr>
    <w:rPr>
      <w:rFonts w:ascii="Cambria" w:hAnsi="Cambria" w:eastAsia="宋体" w:cs="Times New Roman"/>
      <w:b/>
      <w:bCs/>
      <w:sz w:val="32"/>
      <w:szCs w:val="32"/>
    </w:rPr>
  </w:style>
  <w:style w:type="paragraph" w:styleId="17">
    <w:name w:val="annotation subject"/>
    <w:basedOn w:val="9"/>
    <w:next w:val="9"/>
    <w:link w:val="31"/>
    <w:semiHidden/>
    <w:unhideWhenUsed/>
    <w:qFormat/>
    <w:uiPriority w:val="0"/>
    <w:rPr>
      <w:b/>
      <w:bCs/>
    </w:rPr>
  </w:style>
  <w:style w:type="table" w:styleId="19">
    <w:name w:val="Table Grid"/>
    <w:basedOn w:val="1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qFormat/>
    <w:uiPriority w:val="22"/>
    <w:rPr>
      <w:b/>
    </w:rPr>
  </w:style>
  <w:style w:type="character" w:styleId="22">
    <w:name w:val="annotation reference"/>
    <w:basedOn w:val="20"/>
    <w:semiHidden/>
    <w:unhideWhenUsed/>
    <w:qFormat/>
    <w:uiPriority w:val="0"/>
    <w:rPr>
      <w:sz w:val="21"/>
      <w:szCs w:val="21"/>
    </w:rPr>
  </w:style>
  <w:style w:type="character" w:customStyle="1" w:styleId="23">
    <w:name w:val="标题 4 字符"/>
    <w:basedOn w:val="20"/>
    <w:link w:val="5"/>
    <w:qFormat/>
    <w:uiPriority w:val="0"/>
    <w:rPr>
      <w:rFonts w:ascii="仿宋" w:hAnsi="仿宋" w:eastAsia="仿宋" w:cs="Times New Roman"/>
      <w:kern w:val="2"/>
      <w:sz w:val="32"/>
      <w:szCs w:val="28"/>
    </w:rPr>
  </w:style>
  <w:style w:type="character" w:customStyle="1" w:styleId="24">
    <w:name w:val="页眉 字符"/>
    <w:basedOn w:val="20"/>
    <w:link w:val="14"/>
    <w:qFormat/>
    <w:uiPriority w:val="0"/>
    <w:rPr>
      <w:kern w:val="2"/>
      <w:sz w:val="18"/>
      <w:szCs w:val="18"/>
    </w:rPr>
  </w:style>
  <w:style w:type="character" w:customStyle="1" w:styleId="25">
    <w:name w:val="页脚 字符"/>
    <w:basedOn w:val="20"/>
    <w:link w:val="13"/>
    <w:qFormat/>
    <w:uiPriority w:val="99"/>
    <w:rPr>
      <w:rFonts w:asciiTheme="minorHAnsi" w:hAnsiTheme="minorHAnsi" w:eastAsiaTheme="minorEastAsia" w:cstheme="minorBidi"/>
      <w:kern w:val="2"/>
      <w:sz w:val="18"/>
      <w:szCs w:val="18"/>
    </w:rPr>
  </w:style>
  <w:style w:type="character" w:customStyle="1" w:styleId="26">
    <w:name w:val="标题 1 字符"/>
    <w:basedOn w:val="20"/>
    <w:link w:val="2"/>
    <w:qFormat/>
    <w:uiPriority w:val="0"/>
    <w:rPr>
      <w:rFonts w:ascii="黑体" w:hAnsi="黑体" w:eastAsia="黑体" w:cs="宋体"/>
      <w:b/>
      <w:bCs/>
      <w:sz w:val="32"/>
      <w:szCs w:val="32"/>
    </w:rPr>
  </w:style>
  <w:style w:type="character" w:customStyle="1" w:styleId="27">
    <w:name w:val="标题 2 字符"/>
    <w:basedOn w:val="20"/>
    <w:link w:val="3"/>
    <w:qFormat/>
    <w:uiPriority w:val="0"/>
    <w:rPr>
      <w:rFonts w:ascii="楷体" w:hAnsi="楷体" w:eastAsia="楷体" w:cs="楷体"/>
      <w:b/>
      <w:bCs/>
      <w:sz w:val="32"/>
      <w:szCs w:val="32"/>
    </w:rPr>
  </w:style>
  <w:style w:type="paragraph" w:styleId="28">
    <w:name w:val="List Paragraph"/>
    <w:basedOn w:val="1"/>
    <w:link w:val="35"/>
    <w:qFormat/>
    <w:uiPriority w:val="34"/>
  </w:style>
  <w:style w:type="character" w:customStyle="1" w:styleId="29">
    <w:name w:val="标题 3 字符"/>
    <w:basedOn w:val="20"/>
    <w:link w:val="4"/>
    <w:qFormat/>
    <w:uiPriority w:val="0"/>
    <w:rPr>
      <w:rFonts w:ascii="仿宋_GB2312" w:hAnsi="仿宋_GB2312" w:eastAsia="仿宋_GB2312" w:cs="仿宋_GB2312"/>
      <w:b/>
      <w:bCs/>
      <w:sz w:val="32"/>
      <w:szCs w:val="32"/>
    </w:rPr>
  </w:style>
  <w:style w:type="character" w:customStyle="1" w:styleId="30">
    <w:name w:val="批注文字 字符"/>
    <w:basedOn w:val="20"/>
    <w:link w:val="9"/>
    <w:qFormat/>
    <w:uiPriority w:val="0"/>
    <w:rPr>
      <w:kern w:val="2"/>
      <w:sz w:val="21"/>
      <w:szCs w:val="22"/>
    </w:rPr>
  </w:style>
  <w:style w:type="character" w:customStyle="1" w:styleId="31">
    <w:name w:val="批注主题 字符"/>
    <w:basedOn w:val="30"/>
    <w:link w:val="17"/>
    <w:semiHidden/>
    <w:qFormat/>
    <w:uiPriority w:val="0"/>
    <w:rPr>
      <w:b/>
      <w:bCs/>
      <w:kern w:val="2"/>
      <w:sz w:val="21"/>
      <w:szCs w:val="22"/>
    </w:rPr>
  </w:style>
  <w:style w:type="character" w:customStyle="1" w:styleId="32">
    <w:name w:val="标题 字符"/>
    <w:basedOn w:val="20"/>
    <w:link w:val="16"/>
    <w:qFormat/>
    <w:uiPriority w:val="10"/>
    <w:rPr>
      <w:rFonts w:ascii="Cambria" w:hAnsi="Cambria" w:eastAsia="宋体" w:cs="Times New Roman"/>
      <w:b/>
      <w:bCs/>
      <w:kern w:val="2"/>
      <w:sz w:val="32"/>
      <w:szCs w:val="32"/>
    </w:rPr>
  </w:style>
  <w:style w:type="paragraph" w:customStyle="1" w:styleId="33">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34">
    <w:name w:val="批注框文本 字符"/>
    <w:basedOn w:val="20"/>
    <w:link w:val="12"/>
    <w:semiHidden/>
    <w:qFormat/>
    <w:uiPriority w:val="0"/>
    <w:rPr>
      <w:kern w:val="2"/>
      <w:sz w:val="18"/>
      <w:szCs w:val="18"/>
    </w:rPr>
  </w:style>
  <w:style w:type="character" w:customStyle="1" w:styleId="35">
    <w:name w:val="列表段落 字符"/>
    <w:link w:val="28"/>
    <w:qFormat/>
    <w:uiPriority w:val="34"/>
    <w:rPr>
      <w:kern w:val="2"/>
      <w:sz w:val="21"/>
      <w:szCs w:val="22"/>
    </w:rPr>
  </w:style>
  <w:style w:type="paragraph" w:customStyle="1" w:styleId="36">
    <w:name w:val="FC正文"/>
    <w:basedOn w:val="1"/>
    <w:link w:val="37"/>
    <w:qFormat/>
    <w:uiPriority w:val="0"/>
    <w:pPr>
      <w:widowControl/>
      <w:snapToGrid w:val="0"/>
      <w:spacing w:beforeLines="50" w:line="360" w:lineRule="auto"/>
      <w:ind w:firstLine="560"/>
      <w:contextualSpacing/>
    </w:pPr>
    <w:rPr>
      <w:rFonts w:ascii="宋体" w:hAnsi="宋体" w:eastAsia="宋体" w:cs="宋体"/>
      <w:sz w:val="24"/>
      <w:szCs w:val="21"/>
    </w:rPr>
  </w:style>
  <w:style w:type="character" w:customStyle="1" w:styleId="37">
    <w:name w:val="FC正文 Char"/>
    <w:link w:val="36"/>
    <w:qFormat/>
    <w:uiPriority w:val="0"/>
    <w:rPr>
      <w:rFonts w:ascii="宋体" w:hAnsi="宋体" w:eastAsia="宋体" w:cs="宋体"/>
      <w:kern w:val="2"/>
      <w:sz w:val="24"/>
      <w:szCs w:val="21"/>
    </w:rPr>
  </w:style>
  <w:style w:type="paragraph" w:customStyle="1" w:styleId="38">
    <w:name w:val="null3"/>
    <w:hidden/>
    <w:qFormat/>
    <w:uiPriority w:val="0"/>
    <w:rPr>
      <w:rFonts w:hint="eastAsia" w:asciiTheme="minorHAnsi" w:hAnsiTheme="minorHAnsi" w:eastAsiaTheme="minorEastAsia" w:cstheme="minorBidi"/>
      <w:lang w:val="en-US" w:eastAsia="zh-Hans" w:bidi="ar-SA"/>
    </w:rPr>
  </w:style>
  <w:style w:type="character" w:customStyle="1" w:styleId="39">
    <w:name w:val="font11"/>
    <w:basedOn w:val="20"/>
    <w:qFormat/>
    <w:uiPriority w:val="0"/>
    <w:rPr>
      <w:rFonts w:hint="default" w:ascii="仿宋_GB2312" w:eastAsia="仿宋_GB2312" w:cs="仿宋_GB2312"/>
      <w:color w:val="000000"/>
      <w:sz w:val="24"/>
      <w:szCs w:val="24"/>
      <w:u w:val="none"/>
    </w:rPr>
  </w:style>
  <w:style w:type="paragraph" w:customStyle="1" w:styleId="40">
    <w:name w:val="修订2"/>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41">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0F8D84-E563-4C1B-9761-B8F0DDFDCE18}">
  <ds:schemaRefs/>
</ds:datastoreItem>
</file>

<file path=docProps/app.xml><?xml version="1.0" encoding="utf-8"?>
<Properties xmlns="http://schemas.openxmlformats.org/officeDocument/2006/extended-properties" xmlns:vt="http://schemas.openxmlformats.org/officeDocument/2006/docPropsVTypes">
  <Template>Normal</Template>
  <Pages>10</Pages>
  <Words>3039</Words>
  <Characters>3167</Characters>
  <Lines>37</Lines>
  <Paragraphs>10</Paragraphs>
  <TotalTime>7</TotalTime>
  <ScaleCrop>false</ScaleCrop>
  <LinksUpToDate>false</LinksUpToDate>
  <CharactersWithSpaces>3168</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2026-03-25T09:38:00Z</dcterms:created>
  <dc:creator>user</dc:creator>
  <cp:lastModifiedBy>HC</cp:lastModifiedBy>
  <cp:lastPrinted>2026-03-25T08:11:00Z</cp:lastPrinted>
  <dcterms:modified xsi:type="dcterms:W3CDTF">2026-07-14T05:22:58Z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y fmtid="{D5CDD505-2E9C-101B-9397-08002B2CF9AE}" pid="3" name="ICV">
    <vt:lpwstr>011002DA28934843AA7A95AB92AB7345_13</vt:lpwstr>
  </property>
  <property fmtid="{D5CDD505-2E9C-101B-9397-08002B2CF9AE}" pid="4" name="KSOTemplateDocerSaveRecord">
    <vt:lpwstr>eyJoZGlkIjoiNzM0MWJhYTYwOWIzM2NmYzBmZTYyNjk0YWJhZDBjYmYiLCJ1c2VySWQiOiIzODQyMDk5MjEifQ==</vt:lpwstr>
  </property>
</Properties>
</file>