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  <w:highlight w:val="none"/>
          <w:lang w:val="en-US" w:eastAsia="zh-CN"/>
        </w:rPr>
        <w:t>采购内容及要求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highlight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/>
          <w:b w:val="0"/>
          <w:bCs w:val="0"/>
          <w:highlight w:val="none"/>
          <w:lang w:eastAsia="zh-CN"/>
        </w:rPr>
      </w:pPr>
      <w:r>
        <w:rPr>
          <w:rFonts w:hint="eastAsia"/>
          <w:b w:val="0"/>
          <w:bCs w:val="0"/>
          <w:highlight w:val="none"/>
          <w:lang w:eastAsia="zh-CN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highlight w:val="none"/>
          <w:lang w:val="en-US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eastAsia="zh-CN" w:bidi="ar-SA"/>
        </w:rPr>
        <w:t>本项目为省洪水预警报中心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提供省政务云平台高性能算力资源租用服务，用于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水利信息系统模型运算等使用。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报价清单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各供应商应对下表进行逐项报价和总价报价，其中，</w:t>
      </w:r>
      <w:bookmarkStart w:id="0" w:name="OLE_LINK1"/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服务品目1单价报价限价为5589.08元/月</w:t>
      </w:r>
      <w:bookmarkEnd w:id="0"/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，服务品目2单价报价限价为77807.52元/月。</w:t>
      </w:r>
    </w:p>
    <w:tbl>
      <w:tblPr>
        <w:tblStyle w:val="12"/>
        <w:tblW w:w="106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355"/>
        <w:gridCol w:w="2558"/>
        <w:gridCol w:w="1723"/>
        <w:gridCol w:w="1284"/>
        <w:gridCol w:w="1050"/>
        <w:gridCol w:w="1200"/>
        <w:gridCol w:w="9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服务品目</w:t>
            </w:r>
          </w:p>
        </w:tc>
        <w:tc>
          <w:tcPr>
            <w:tcW w:w="4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服务规格</w:t>
            </w:r>
          </w:p>
        </w:tc>
        <w:tc>
          <w:tcPr>
            <w:tcW w:w="12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智算需求预估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（PFLOPS）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服务期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（月）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highlight w:val="none"/>
                <w:u w:val="none"/>
                <w:lang w:val="en-US" w:eastAsia="zh-CN" w:bidi="ar"/>
              </w:rPr>
              <w:t>单价报价</w:t>
            </w:r>
          </w:p>
          <w:p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服务器主机配置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算力卡</w:t>
            </w:r>
          </w:p>
        </w:tc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中轻量推理算力服务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1.信创CPU≥2路，单路≥24核/ARM架构单路≥32核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2.内存≥512G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3.硬盘（裸容量）≥7.68TNVMeSSD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1.单算力卡FP16算力≥90TFLOPS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1张算力卡（0.280P）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约5.5月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高性能训推一体算力服务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1.信创CPU≥2路，单路≥32核/ARM架构单路≥48核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2.内存≥1024G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3.硬盘（裸容量）≥7.68TNVMeSSD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4.包含集群参数面交换机、集群管理设备等。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1.集群部署，单机FP16算力≥2PLOPS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2.单算力卡FP16算力≥270TFLOPS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12张算力卡（3.360P）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总计报价（元）</w:t>
            </w:r>
          </w:p>
        </w:tc>
        <w:tc>
          <w:tcPr>
            <w:tcW w:w="52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/>
          <w:b w:val="0"/>
          <w:bCs w:val="0"/>
          <w:highlight w:val="none"/>
          <w:lang w:val="en-US"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三、技术和服务要求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本次采购智算服务主要通过搭载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13张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算力卡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，并结合现有政务云的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政务外网等网络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、高速存储等资源，来搭建一个高效的人工智能算力池。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1.总体架构要求：以单张算力卡为最小可扩展单元，单张算力卡即具备 0.28 PFLOPS FP16 算力，服务期内提供3.64P的算力需求，具备横向扩展性，可平滑增补采购算力资源，保证业务峰值无中断。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2.日常运维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服务：提供支撑高性能算力日常运维服务，包括IT基础设施、配套网络设备和存储设备、线路、基础软件以及承载在高性能智算资源池中的人工智能大模型/专业模型等稳定运行。负责解决因算力资源自身性能、稳定性、兼容性等硬件问题导致的上述模型运行异常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3.可扩展性要求：可通过最小化变更完成算力资源平滑扩容，所有扩展动作均可在业务零中断、灰度发布模式下完成，满足“即插即用”的方式持续演进。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仿宋_GB2312" w:hAnsi="仿宋_GB2312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响应及时性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/>
        </w:rPr>
        <w:t>：供应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商配备运维人员驻点数字福建云计算中心（政务云）机房值守，提供7*24小时技术支持、运维服务，负责云资源分配、故障受理、故障快速定位、故障紧急恢复。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</w:rPr>
        <w:t>云平台基础安全保障</w:t>
      </w: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供应商提供服务的政务云平台具备国家网络安全等级保护2.0三级（含以上）等级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提供基础设施的安全管理，主要包括云平台的网络安全、主机系统安全和数据库安全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并积极配合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/>
        </w:rPr>
        <w:t>业主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根据业务系统具体等保需求，开展云平台相应等保评估、检查、整改等工作。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</w:rPr>
        <w:t>.数据备份服务</w:t>
      </w: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供应商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/>
        </w:rPr>
        <w:t>提供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部署在福建省省级政务云平台的各信息系统和数据，满足等保三级有关备份机制的要求，并提供充足的备份空间，备份策略为每周做一次全备操作，周日做一次增备，备份数据保留时长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/>
        </w:rPr>
        <w:t>至少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2周。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</w:rPr>
        <w:t>.项目结算</w:t>
      </w:r>
      <w:r>
        <w:rPr>
          <w:rFonts w:hint="eastAsia" w:ascii="仿宋_GB2312" w:hAnsi="仿宋_GB2312" w:eastAsia="仿宋_GB2312" w:cs="Times New Roman"/>
          <w:b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在云平台资源动态使用过程中，全部资源服务费按所投单价和实际使用资源量计算，并结合考核结果结算，如采购人实际使用资源超过租用资源总量，可追加超额实际资源使用费，但最多追加费用不超过本项目原采购合同金额的10%。</w:t>
      </w:r>
    </w:p>
    <w:p>
      <w:pPr>
        <w:pStyle w:val="4"/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 w:val="0"/>
          <w:bCs w:val="0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黑体" w:hAnsi="黑体" w:eastAsia="黑体" w:cs="宋体"/>
          <w:b w:val="0"/>
          <w:bCs w:val="0"/>
          <w:sz w:val="32"/>
          <w:szCs w:val="32"/>
          <w:highlight w:val="none"/>
        </w:rPr>
        <w:t>服务期</w:t>
      </w:r>
      <w:r>
        <w:rPr>
          <w:rFonts w:hint="eastAsia" w:cs="宋体"/>
          <w:b w:val="0"/>
          <w:bCs w:val="0"/>
          <w:sz w:val="32"/>
          <w:szCs w:val="32"/>
          <w:highlight w:val="none"/>
          <w:lang w:eastAsia="zh-CN"/>
        </w:rPr>
        <w:t>和</w:t>
      </w:r>
      <w:r>
        <w:rPr>
          <w:rFonts w:hint="eastAsia" w:ascii="黑体" w:hAnsi="黑体" w:eastAsia="黑体" w:cs="宋体"/>
          <w:b w:val="0"/>
          <w:bCs w:val="0"/>
          <w:sz w:val="32"/>
          <w:szCs w:val="32"/>
          <w:highlight w:val="none"/>
        </w:rPr>
        <w:t>服务地点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服务期：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自合同签订之日起至</w:t>
      </w:r>
      <w:r>
        <w:rPr>
          <w:rFonts w:hint="default" w:ascii="仿宋_GB2312" w:hAnsi="仿宋_GB2312" w:eastAsia="仿宋_GB2312" w:cs="Times New Roman"/>
          <w:sz w:val="32"/>
          <w:szCs w:val="32"/>
          <w:highlight w:val="none"/>
          <w:lang w:val="en" w:eastAsia="zh-CN"/>
        </w:rPr>
        <w:t>2026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" w:eastAsia="zh-CN"/>
        </w:rPr>
        <w:t>年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12月10日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</w:rPr>
        <w:t>服务地点：福建省福州市长乐区文武砂镇数字福建产业园东湖一路1号数字福建云计算中心（政务云）机房。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/>
          <w:b w:val="0"/>
          <w:bCs w:val="0"/>
          <w:highlight w:val="none"/>
          <w:lang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报价与最高限价</w:t>
      </w:r>
    </w:p>
    <w:p>
      <w:pPr>
        <w:pStyle w:val="15"/>
        <w:ind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本项目最高限价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458681.3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元。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投标人所报总价应包含本项目所涉及的所有费用。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/>
          <w:b w:val="0"/>
          <w:bCs w:val="0"/>
          <w:highlight w:val="none"/>
          <w:lang w:eastAsia="zh-CN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六、</w:t>
      </w:r>
      <w:r>
        <w:rPr>
          <w:rFonts w:hint="eastAsia"/>
          <w:b w:val="0"/>
          <w:bCs w:val="0"/>
          <w:highlight w:val="none"/>
          <w:lang w:eastAsia="zh-CN"/>
        </w:rPr>
        <w:t>付款方式</w:t>
      </w:r>
    </w:p>
    <w:tbl>
      <w:tblPr>
        <w:tblStyle w:val="12"/>
        <w:tblW w:w="5367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0"/>
        <w:gridCol w:w="1965"/>
        <w:gridCol w:w="728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tblHeader/>
          <w:tblCellSpacing w:w="0" w:type="dxa"/>
          <w:jc w:val="center"/>
        </w:trPr>
        <w:tc>
          <w:tcPr>
            <w:tcW w:w="11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bidi="ar-SA"/>
              </w:rPr>
              <w:t>支付期次</w:t>
            </w:r>
          </w:p>
        </w:tc>
        <w:tc>
          <w:tcPr>
            <w:tcW w:w="1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bidi="ar-SA"/>
              </w:rPr>
              <w:t>支付比例(%)</w:t>
            </w:r>
          </w:p>
        </w:tc>
        <w:tc>
          <w:tcPr>
            <w:tcW w:w="6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bidi="ar-SA"/>
              </w:rPr>
              <w:t>支付期次说明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1</w:t>
            </w:r>
          </w:p>
        </w:tc>
        <w:tc>
          <w:tcPr>
            <w:tcW w:w="1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0</w:t>
            </w:r>
          </w:p>
        </w:tc>
        <w:tc>
          <w:tcPr>
            <w:tcW w:w="6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合同签订后15日内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 w:bidi="ar-SA"/>
              </w:rPr>
              <w:t>，供应商开具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等额正式发票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 w:bidi="ar-SA"/>
              </w:rPr>
              <w:t>，支付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0%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 w:bidi="ar-SA"/>
              </w:rPr>
              <w:t>的合同款项作为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预付款。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2</w:t>
            </w:r>
          </w:p>
        </w:tc>
        <w:tc>
          <w:tcPr>
            <w:tcW w:w="1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bidi="ar-SA"/>
              </w:rPr>
              <w:t>0</w:t>
            </w:r>
          </w:p>
        </w:tc>
        <w:tc>
          <w:tcPr>
            <w:tcW w:w="6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  <w:t>服务期结束后，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bidi="ar-SA"/>
              </w:rPr>
              <w:t>由采购人对中标人提供的服务完成情况做出评价，中标人开具等额发票，由采购人支付剩余服务费，达到付款条件起1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bidi="ar-SA"/>
              </w:rPr>
              <w:t>日内，支付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  <w:t>剩余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bidi="ar-SA"/>
              </w:rPr>
              <w:t>合同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  <w:t>款</w:t>
            </w:r>
          </w:p>
        </w:tc>
      </w:tr>
    </w:tbl>
    <w:p>
      <w:pPr>
        <w:rPr>
          <w:rFonts w:hint="default"/>
          <w:highlight w:val="none"/>
          <w:lang w:val="en-US" w:eastAsia="zh-CN"/>
        </w:rPr>
      </w:pPr>
    </w:p>
    <w:p>
      <w:pPr>
        <w:pStyle w:val="4"/>
        <w:numPr>
          <w:ilvl w:val="-1"/>
          <w:numId w:val="0"/>
        </w:numPr>
        <w:ind w:firstLine="640" w:firstLineChars="200"/>
        <w:rPr>
          <w:rFonts w:hint="default" w:cs="宋体"/>
          <w:b w:val="0"/>
          <w:bCs w:val="0"/>
          <w:highlight w:val="none"/>
          <w:lang w:val="en-US" w:eastAsia="zh-CN"/>
        </w:rPr>
      </w:pPr>
      <w:r>
        <w:rPr>
          <w:rFonts w:hint="eastAsia" w:cs="宋体"/>
          <w:b w:val="0"/>
          <w:bCs w:val="0"/>
          <w:highlight w:val="none"/>
          <w:lang w:val="en-US" w:eastAsia="zh-CN"/>
        </w:rPr>
        <w:t>七、</w:t>
      </w:r>
      <w:r>
        <w:rPr>
          <w:rFonts w:hint="default" w:cs="宋体"/>
          <w:b w:val="0"/>
          <w:bCs w:val="0"/>
          <w:highlight w:val="none"/>
          <w:lang w:val="en-US" w:eastAsia="zh-CN"/>
        </w:rPr>
        <w:t>运维工作考核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考核办法满分为100分，由采购人结合工作实际，给予年度评定技术服务考核。该分数将作为合同款支付和履约保函退还的依据。考核分数90-100分（含90分），支付100%合同款；考核分数80-89分（含80分），支付85%合同款；考核分数70-79分（含70分），支付70%合同款；考核分数低于70分的视为验收不合格，乙方赔付甲方30%合同款的违约金。具体事项及不详尽之处以最终签订的采购合同约定为准。</w:t>
      </w:r>
    </w:p>
    <w:p>
      <w:pPr>
        <w:rPr>
          <w:rFonts w:hint="eastAsia" w:ascii="黑体" w:hAnsi="黑体" w:eastAsia="黑体" w:cs="黑体"/>
          <w:i w:val="0"/>
          <w:iCs w:val="0"/>
          <w:caps w:val="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0"/>
          <w:sz w:val="32"/>
          <w:szCs w:val="32"/>
          <w:highlight w:val="none"/>
          <w:shd w:val="clear" w:color="auto" w:fill="FFFFFF"/>
        </w:rPr>
        <w:br w:type="page"/>
      </w:r>
    </w:p>
    <w:p>
      <w:pPr>
        <w:pStyle w:val="3"/>
        <w:jc w:val="center"/>
        <w:rPr>
          <w:rFonts w:hint="eastAsia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0"/>
          <w:sz w:val="32"/>
          <w:szCs w:val="32"/>
          <w:highlight w:val="none"/>
          <w:shd w:val="clear" w:color="auto" w:fill="FFFFFF"/>
        </w:rPr>
        <w:t>工作考核表</w:t>
      </w:r>
    </w:p>
    <w:tbl>
      <w:tblPr>
        <w:tblStyle w:val="12"/>
        <w:tblW w:w="0" w:type="auto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81"/>
        <w:gridCol w:w="981"/>
        <w:gridCol w:w="981"/>
        <w:gridCol w:w="2202"/>
        <w:gridCol w:w="1381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1"/>
              </w:rPr>
              <w:t>服务类别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1"/>
              </w:rPr>
              <w:t>服务内容</w:t>
            </w:r>
          </w:p>
        </w:tc>
        <w:tc>
          <w:tcPr>
            <w:tcW w:w="22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1"/>
              </w:rPr>
              <w:t>服务质量考核标准</w:t>
            </w:r>
          </w:p>
        </w:tc>
        <w:tc>
          <w:tcPr>
            <w:tcW w:w="1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center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1"/>
              </w:rPr>
              <w:t>分值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服务能力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1.资源交付开通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资源开通（含环境准备、测试评估、环境部署、资源开通）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考核标准：资源交付时间不超过5个日历日（以乙方收到甲方指定人员业务部署通知时间为起始时间。因应用系统因素导致的延迟不受限制）。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未按时完成资源开通（自定义模型除外），一次扣1分，扣完为止。</w:t>
            </w:r>
          </w:p>
        </w:tc>
        <w:tc>
          <w:tcPr>
            <w:tcW w:w="1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20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2.技术支持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1）远程技术支持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1、支撑人员电话关机，扣1分，扣完为止。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2）现场技术支持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2、驻场人员不在现场，每发现1次扣1分，扣完为止。</w:t>
            </w:r>
          </w:p>
        </w:tc>
        <w:tc>
          <w:tcPr>
            <w:tcW w:w="1381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3.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例行巡查服务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日常巡查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每日对智算资源池的硬件设施进行6次常规巡查，并输出日巡查报告，少执行一次扣0.5分，扣完为止。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restart"/>
            <w:tcBorders>
              <w:top w:val="nil"/>
              <w:left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4.保密规定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1）乙方只能在省洪水预警报中心许可的IT系统范围内提供服务，不得利用工作之便非法侵入或尝试侵入其他系统。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每违反一次，视影响程度扣2分；若给省洪水预警报中心造成负面影响的，加重扣分，直至该分项扣完为止。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continue"/>
            <w:tcBorders>
              <w:left w:val="nil"/>
              <w:right w:val="single" w:color="000000" w:sz="4" w:space="0"/>
            </w:tcBorders>
          </w:tcPr>
          <w:p/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2）乙方有责任保证所服务系统和数据的安全，未经许可不得泄露任何数据。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每违反一次，视影响程度扣3分；若给省洪水预警报中心造成负面影响的，加重扣分，直至该分项扣完为止。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</w:rPr>
              <w:t>运维人员需签署保密协议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</w:rPr>
              <w:t>每发现1人次未签署保密协议扣1分，扣完为止。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</w:rPr>
              <w:t>5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</w:rPr>
              <w:t>提供对运维人员每年进行1次安全贯宣。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</w:rPr>
              <w:t>未执行1次扣5分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</w:rPr>
              <w:t>5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资源服务质量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rPr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1、智算设备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资源服务质量</w:t>
            </w:r>
          </w:p>
        </w:tc>
        <w:tc>
          <w:tcPr>
            <w:tcW w:w="1962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rPr>
                <w:highlight w:val="yellow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智能计算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设备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资源的可用性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rPr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1、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考核标准：整体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智能计算设备资源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全年平均可用性不低于99.9%（全年故障时间不高于8.76小时）。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highlight w:val="yellow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highlight w:val="yellow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rPr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2、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每超过1小时，扣1分，扣完为止。</w:t>
            </w:r>
          </w:p>
        </w:tc>
        <w:tc>
          <w:tcPr>
            <w:tcW w:w="1381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1"/>
                <w:highlight w:val="none"/>
              </w:rPr>
              <w:t>2.存储资源服务质量</w:t>
            </w:r>
          </w:p>
        </w:tc>
        <w:tc>
          <w:tcPr>
            <w:tcW w:w="1962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1"/>
                <w:highlight w:val="none"/>
              </w:rPr>
              <w:t>存储资源的可用性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1"/>
                <w:highlight w:val="none"/>
              </w:rPr>
              <w:t>1、考核标准：大于99.99%（52.6分钟）。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highlight w:val="none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1"/>
                <w:highlight w:val="none"/>
              </w:rPr>
              <w:t>2、每超过20分钟，扣1分，扣完为止。</w:t>
            </w:r>
          </w:p>
        </w:tc>
        <w:tc>
          <w:tcPr>
            <w:tcW w:w="1381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.平台安全</w:t>
            </w:r>
          </w:p>
        </w:tc>
        <w:tc>
          <w:tcPr>
            <w:tcW w:w="1962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政务云平台等保三级测评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1、考核标准：平台是否达到国家网络安全等级保护3级要求。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8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62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2、服务期结束前未提供平台等保测评报告，扣5分。</w:t>
            </w:r>
          </w:p>
        </w:tc>
        <w:tc>
          <w:tcPr>
            <w:tcW w:w="1381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24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1"/>
              </w:rPr>
              <w:t>合计：</w:t>
            </w:r>
          </w:p>
        </w:tc>
        <w:tc>
          <w:tcPr>
            <w:tcW w:w="358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7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color w:val="000000"/>
                <w:sz w:val="21"/>
              </w:rPr>
              <w:t>双方项目管理人员意见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1"/>
              </w:rPr>
              <w:t>甲方：</w:t>
            </w:r>
          </w:p>
        </w:tc>
        <w:tc>
          <w:tcPr>
            <w:tcW w:w="456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18"/>
              <w:jc w:val="both"/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1"/>
              </w:rPr>
              <w:t>乙方：</w:t>
            </w:r>
          </w:p>
        </w:tc>
      </w:tr>
    </w:tbl>
    <w:p>
      <w:pPr>
        <w:rPr>
          <w:highlight w:val="none"/>
        </w:rPr>
      </w:pPr>
    </w:p>
    <w:sectPr>
      <w:footerReference r:id="rId3" w:type="default"/>
      <w:pgSz w:w="11906" w:h="16838"/>
      <w:pgMar w:top="1440" w:right="1066" w:bottom="1440" w:left="9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A8E563"/>
    <w:multiLevelType w:val="singleLevel"/>
    <w:tmpl w:val="31A8E5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7B44"/>
    <w:rsid w:val="01F877AE"/>
    <w:rsid w:val="0CEF4023"/>
    <w:rsid w:val="12125107"/>
    <w:rsid w:val="16B23C59"/>
    <w:rsid w:val="1B253A19"/>
    <w:rsid w:val="1BB4776E"/>
    <w:rsid w:val="21B621C9"/>
    <w:rsid w:val="243B67FF"/>
    <w:rsid w:val="260169ED"/>
    <w:rsid w:val="2C8E2E56"/>
    <w:rsid w:val="2EB158EB"/>
    <w:rsid w:val="377822EE"/>
    <w:rsid w:val="38282D6B"/>
    <w:rsid w:val="3BB2565D"/>
    <w:rsid w:val="3F57E328"/>
    <w:rsid w:val="409E0432"/>
    <w:rsid w:val="42E22B07"/>
    <w:rsid w:val="45C203B7"/>
    <w:rsid w:val="4A4D7C20"/>
    <w:rsid w:val="4A877165"/>
    <w:rsid w:val="51780D47"/>
    <w:rsid w:val="53146827"/>
    <w:rsid w:val="5CD12E79"/>
    <w:rsid w:val="615F4573"/>
    <w:rsid w:val="63010698"/>
    <w:rsid w:val="64276EAD"/>
    <w:rsid w:val="65966998"/>
    <w:rsid w:val="663E5386"/>
    <w:rsid w:val="67643638"/>
    <w:rsid w:val="6BE253F6"/>
    <w:rsid w:val="6CEA0C3F"/>
    <w:rsid w:val="6F0619A3"/>
    <w:rsid w:val="7194229E"/>
    <w:rsid w:val="7ADF7706"/>
    <w:rsid w:val="7AE27B52"/>
    <w:rsid w:val="F7A69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line="520" w:lineRule="exact"/>
      <w:ind w:firstLine="643" w:firstLineChars="200"/>
      <w:outlineLvl w:val="0"/>
    </w:pPr>
    <w:rPr>
      <w:rFonts w:ascii="黑体" w:hAnsi="黑体" w:eastAsia="黑体" w:cs="宋体"/>
      <w:b/>
      <w:bCs/>
      <w:kern w:val="0"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Body Text 2"/>
    <w:basedOn w:val="1"/>
    <w:next w:val="2"/>
    <w:qFormat/>
    <w:uiPriority w:val="0"/>
    <w:pPr>
      <w:spacing w:after="120" w:line="480" w:lineRule="auto"/>
    </w:pPr>
  </w:style>
  <w:style w:type="paragraph" w:styleId="5">
    <w:name w:val="Normal Indent"/>
    <w:basedOn w:val="1"/>
    <w:unhideWhenUsed/>
    <w:qFormat/>
    <w:uiPriority w:val="0"/>
    <w:pPr>
      <w:ind w:firstLine="420" w:firstLineChars="200"/>
    </w:pPr>
  </w:style>
  <w:style w:type="paragraph" w:styleId="6">
    <w:name w:val="caption"/>
    <w:basedOn w:val="1"/>
    <w:next w:val="1"/>
    <w:unhideWhenUsed/>
    <w:qFormat/>
    <w:uiPriority w:val="0"/>
    <w:rPr>
      <w:rFonts w:ascii="Calibri Light" w:hAnsi="Calibri Light" w:eastAsia="黑体" w:cs="Times New Roman"/>
      <w:sz w:val="20"/>
      <w:szCs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8"/>
    <w:unhideWhenUsed/>
    <w:qFormat/>
    <w:uiPriority w:val="99"/>
    <w:pPr>
      <w:ind w:firstLine="420" w:firstLineChars="200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Acetate"/>
    <w:basedOn w:val="1"/>
    <w:qFormat/>
    <w:uiPriority w:val="0"/>
    <w:pPr>
      <w:spacing w:line="240" w:lineRule="auto"/>
      <w:jc w:val="both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customStyle="1" w:styleId="16">
    <w:name w:val="AA正文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30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sz w:val="21"/>
    </w:rPr>
  </w:style>
  <w:style w:type="paragraph" w:customStyle="1" w:styleId="1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2488</Words>
  <Characters>2660</Characters>
  <Lines>0</Lines>
  <Paragraphs>0</Paragraphs>
  <TotalTime>6</TotalTime>
  <ScaleCrop>false</ScaleCrop>
  <LinksUpToDate>false</LinksUpToDate>
  <CharactersWithSpaces>2673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user</dc:creator>
  <cp:lastModifiedBy>Administrator</cp:lastModifiedBy>
  <cp:lastPrinted>2026-07-20T12:06:00Z</cp:lastPrinted>
  <dcterms:modified xsi:type="dcterms:W3CDTF">2026-07-21T03:56:46Z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4BC745E0AD0B44A790A6D5E853CE9563_13</vt:lpwstr>
  </property>
  <property fmtid="{D5CDD505-2E9C-101B-9397-08002B2CF9AE}" pid="4" name="KSOTemplateDocerSaveRecord">
    <vt:lpwstr>eyJoZGlkIjoiNTFlMDliOWUxN2RkMGE3MzBjZTBlMmExODcyZWZlNDAiLCJ1c2VySWQiOiIxMDI3MzI2MDkzIn0=</vt:lpwstr>
  </property>
</Properties>
</file>